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FF" w:rsidRPr="00835B7D" w:rsidRDefault="003E30FF" w:rsidP="003E30FF">
      <w:pPr>
        <w:jc w:val="both"/>
      </w:pPr>
      <w:r>
        <w:rPr>
          <w:b/>
        </w:rPr>
        <w:t>Eucharistie</w:t>
      </w:r>
      <w:r w:rsidR="00835B7D">
        <w:tab/>
      </w:r>
      <w:r w:rsidR="00835B7D">
        <w:tab/>
        <w:t xml:space="preserve"> –</w:t>
      </w:r>
      <w:r w:rsidR="00835B7D">
        <w:tab/>
      </w:r>
      <w:r w:rsidR="00835B7D" w:rsidRPr="00835B7D">
        <w:rPr>
          <w:i/>
        </w:rPr>
        <w:t>ein Text von Silja Walter</w:t>
      </w:r>
    </w:p>
    <w:p w:rsidR="003E30FF" w:rsidRPr="007967F3" w:rsidRDefault="003E30FF" w:rsidP="003E30FF">
      <w:pPr>
        <w:jc w:val="both"/>
        <w:rPr>
          <w:sz w:val="4"/>
          <w:szCs w:val="4"/>
        </w:rPr>
      </w:pPr>
    </w:p>
    <w:p w:rsidR="003E30FF" w:rsidRDefault="003E30FF" w:rsidP="003E30FF">
      <w:pPr>
        <w:jc w:val="both"/>
      </w:pPr>
      <w:r>
        <w:t>Ich habe den Himmel</w:t>
      </w:r>
    </w:p>
    <w:p w:rsidR="003E30FF" w:rsidRDefault="003E30FF" w:rsidP="003E30FF">
      <w:pPr>
        <w:jc w:val="both"/>
      </w:pPr>
      <w:r>
        <w:t>gegessen</w:t>
      </w:r>
    </w:p>
    <w:p w:rsidR="003E30FF" w:rsidRDefault="003E30FF" w:rsidP="003E30FF">
      <w:pPr>
        <w:jc w:val="both"/>
      </w:pPr>
      <w:r>
        <w:t>in meinen Zellen nistet</w:t>
      </w:r>
    </w:p>
    <w:p w:rsidR="003E30FF" w:rsidRDefault="003E30FF" w:rsidP="003E30FF">
      <w:pPr>
        <w:jc w:val="both"/>
      </w:pPr>
      <w:r>
        <w:t>sich Ewigkeit</w:t>
      </w:r>
    </w:p>
    <w:p w:rsidR="007967F3" w:rsidRDefault="003E30FF" w:rsidP="007967F3">
      <w:pPr>
        <w:jc w:val="both"/>
      </w:pPr>
      <w:r>
        <w:t>ein</w:t>
      </w:r>
      <w:r w:rsidR="007967F3">
        <w:tab/>
      </w:r>
      <w:r w:rsidR="007967F3">
        <w:tab/>
      </w:r>
      <w:r w:rsidR="007967F3">
        <w:tab/>
      </w:r>
      <w:r w:rsidR="007967F3">
        <w:t>Die Stadt weicht mir aus</w:t>
      </w:r>
    </w:p>
    <w:p w:rsidR="007967F3" w:rsidRDefault="007967F3" w:rsidP="007967F3">
      <w:pPr>
        <w:ind w:left="1416" w:firstLine="708"/>
        <w:jc w:val="both"/>
      </w:pPr>
      <w:r>
        <w:t>auf dem Gehsteig</w:t>
      </w:r>
    </w:p>
    <w:p w:rsidR="007967F3" w:rsidRDefault="007967F3" w:rsidP="007967F3">
      <w:pPr>
        <w:ind w:left="1416" w:firstLine="708"/>
        <w:jc w:val="both"/>
      </w:pPr>
      <w:r>
        <w:t>und keines der Boote</w:t>
      </w:r>
    </w:p>
    <w:p w:rsidR="007967F3" w:rsidRDefault="007967F3" w:rsidP="007967F3">
      <w:pPr>
        <w:ind w:left="2124"/>
        <w:jc w:val="both"/>
      </w:pPr>
      <w:r>
        <w:t>nimmt mich mehr</w:t>
      </w:r>
    </w:p>
    <w:p w:rsidR="003E30FF" w:rsidRDefault="007967F3" w:rsidP="007967F3">
      <w:pPr>
        <w:ind w:left="1416" w:firstLine="708"/>
        <w:jc w:val="both"/>
      </w:pPr>
      <w:r>
        <w:t>mit</w:t>
      </w:r>
    </w:p>
    <w:p w:rsidR="003E30FF" w:rsidRPr="00835B7D" w:rsidRDefault="003E30FF" w:rsidP="003E30FF">
      <w:pPr>
        <w:jc w:val="both"/>
        <w:rPr>
          <w:sz w:val="4"/>
          <w:szCs w:val="4"/>
        </w:rPr>
      </w:pPr>
    </w:p>
    <w:p w:rsidR="003E30FF" w:rsidRDefault="003E30FF" w:rsidP="003E30FF">
      <w:pPr>
        <w:jc w:val="both"/>
      </w:pPr>
      <w:r>
        <w:t>Nur mein Engel</w:t>
      </w:r>
    </w:p>
    <w:p w:rsidR="003E30FF" w:rsidRDefault="003E30FF" w:rsidP="003E30FF">
      <w:pPr>
        <w:jc w:val="both"/>
      </w:pPr>
      <w:r>
        <w:t>fürchtet die Ansteckung</w:t>
      </w:r>
    </w:p>
    <w:p w:rsidR="003E30FF" w:rsidRDefault="003E30FF" w:rsidP="003E30FF">
      <w:pPr>
        <w:jc w:val="both"/>
      </w:pPr>
      <w:r>
        <w:t>nicht</w:t>
      </w:r>
    </w:p>
    <w:p w:rsidR="003E30FF" w:rsidRDefault="003E30FF" w:rsidP="007967F3">
      <w:pPr>
        <w:ind w:left="1983" w:firstLine="141"/>
        <w:jc w:val="both"/>
      </w:pPr>
      <w:r>
        <w:t>Meinen lumpigen</w:t>
      </w:r>
    </w:p>
    <w:p w:rsidR="003E30FF" w:rsidRDefault="003E30FF" w:rsidP="007967F3">
      <w:pPr>
        <w:ind w:left="1842" w:firstLine="282"/>
        <w:jc w:val="both"/>
      </w:pPr>
      <w:r>
        <w:t>ausgetretenen Tod an den</w:t>
      </w:r>
    </w:p>
    <w:p w:rsidR="003E30FF" w:rsidRDefault="003E30FF" w:rsidP="007967F3">
      <w:pPr>
        <w:ind w:left="1701" w:firstLine="423"/>
        <w:jc w:val="both"/>
      </w:pPr>
      <w:r>
        <w:t>Füßen</w:t>
      </w:r>
    </w:p>
    <w:p w:rsidR="003E30FF" w:rsidRDefault="003E30FF" w:rsidP="007967F3">
      <w:pPr>
        <w:ind w:left="1560" w:firstLine="564"/>
        <w:jc w:val="both"/>
      </w:pPr>
      <w:r>
        <w:t>geh ich über das Wasser</w:t>
      </w:r>
    </w:p>
    <w:p w:rsidR="003E30FF" w:rsidRDefault="003E30FF" w:rsidP="007967F3">
      <w:pPr>
        <w:ind w:left="1419" w:firstLine="705"/>
        <w:jc w:val="both"/>
      </w:pPr>
      <w:r>
        <w:t>nach Hause</w:t>
      </w:r>
    </w:p>
    <w:p w:rsidR="003E30FF" w:rsidRPr="007967F3" w:rsidRDefault="003E30FF" w:rsidP="003E30FF">
      <w:pPr>
        <w:jc w:val="both"/>
        <w:rPr>
          <w:sz w:val="4"/>
          <w:szCs w:val="4"/>
        </w:rPr>
      </w:pPr>
    </w:p>
    <w:p w:rsidR="003E30FF" w:rsidRDefault="00534CB3" w:rsidP="003E30FF">
      <w:pPr>
        <w:jc w:val="both"/>
      </w:pPr>
      <w:r>
        <w:t xml:space="preserve">Liebe Gemeinde, Silja Walters </w:t>
      </w:r>
      <w:r w:rsidR="003E30FF">
        <w:t xml:space="preserve">Text </w:t>
      </w:r>
      <w:r w:rsidR="009E7A4C">
        <w:t>bringt das Geheimnis der</w:t>
      </w:r>
      <w:r w:rsidR="003E30FF">
        <w:t xml:space="preserve"> Eucharistie, das Geheimnis von Brot und Wein,</w:t>
      </w:r>
      <w:r w:rsidR="00835B7D">
        <w:t xml:space="preserve"> </w:t>
      </w:r>
      <w:r w:rsidR="003E30FF">
        <w:t>das Geheimnis der Gegenwart Gottes unter uns</w:t>
      </w:r>
      <w:r w:rsidR="009E7A4C">
        <w:t xml:space="preserve"> in sehr dichter Form auf den Punkt</w:t>
      </w:r>
      <w:r w:rsidR="003E30FF">
        <w:t>. D</w:t>
      </w:r>
      <w:r w:rsidR="009E7A4C">
        <w:t>a</w:t>
      </w:r>
      <w:r w:rsidR="00835B7D">
        <w:t>s</w:t>
      </w:r>
      <w:r w:rsidR="003E30FF">
        <w:t xml:space="preserve"> Gehei</w:t>
      </w:r>
      <w:r w:rsidR="003E30FF">
        <w:t>m</w:t>
      </w:r>
      <w:r w:rsidR="003E30FF">
        <w:t>nis</w:t>
      </w:r>
      <w:r w:rsidR="009E7A4C">
        <w:t xml:space="preserve"> der Eucharistie</w:t>
      </w:r>
      <w:r w:rsidR="003E30FF">
        <w:t xml:space="preserve"> trifft mich und den neben mir. Wir können es nur g</w:t>
      </w:r>
      <w:r w:rsidR="003E30FF">
        <w:t>e</w:t>
      </w:r>
      <w:r w:rsidR="003E30FF">
        <w:t xml:space="preserve">meinsam feiern, da es </w:t>
      </w:r>
      <w:r w:rsidR="003E30FF" w:rsidRPr="00E47646">
        <w:rPr>
          <w:u w:val="single"/>
        </w:rPr>
        <w:t>das</w:t>
      </w:r>
      <w:r w:rsidR="003E30FF">
        <w:t xml:space="preserve"> Gemeinschaft stiftende Mahl ist. Gott unter uns will, dass wir Gemeinschaft mit </w:t>
      </w:r>
      <w:r w:rsidR="008A1D76">
        <w:t>I</w:t>
      </w:r>
      <w:r w:rsidR="008A1D76" w:rsidRPr="008A1D76">
        <w:rPr>
          <w:sz w:val="18"/>
          <w:szCs w:val="18"/>
        </w:rPr>
        <w:t>HM</w:t>
      </w:r>
      <w:r w:rsidR="003E30FF">
        <w:t xml:space="preserve"> und unter einander haben. </w:t>
      </w:r>
      <w:r w:rsidR="00835B7D">
        <w:t>A</w:t>
      </w:r>
      <w:r w:rsidR="003E30FF">
        <w:t>ls Ze</w:t>
      </w:r>
      <w:r w:rsidR="003E30FF">
        <w:t>i</w:t>
      </w:r>
      <w:r w:rsidR="003E30FF">
        <w:t>chen für dieses Sakrament wählt Gott die Gaben unseres Lebens – L</w:t>
      </w:r>
      <w:r w:rsidR="003E30FF">
        <w:t>e</w:t>
      </w:r>
      <w:r w:rsidR="003E30FF">
        <w:t xml:space="preserve">bensmittel: Brot und Wein. Davon sprach schon die </w:t>
      </w:r>
      <w:r w:rsidR="003E30FF">
        <w:rPr>
          <w:i/>
        </w:rPr>
        <w:t>erste</w:t>
      </w:r>
      <w:r w:rsidR="003E30FF" w:rsidRPr="003E30FF">
        <w:rPr>
          <w:i/>
        </w:rPr>
        <w:t xml:space="preserve"> Lesung</w:t>
      </w:r>
      <w:r w:rsidR="003E30FF">
        <w:t xml:space="preserve">. </w:t>
      </w:r>
    </w:p>
    <w:p w:rsidR="003E30FF" w:rsidRDefault="003E30FF" w:rsidP="003E30FF">
      <w:pPr>
        <w:jc w:val="both"/>
      </w:pPr>
      <w:r>
        <w:t>Das Buch Genesis nennt Melchisedek „Priester des höchsten Gottes“. Er diente dem Gott, den Israel dann unter dem Namen „J</w:t>
      </w:r>
      <w:r w:rsidR="00835B7D" w:rsidRPr="008A1D76">
        <w:rPr>
          <w:sz w:val="18"/>
          <w:szCs w:val="18"/>
        </w:rPr>
        <w:t>AHWE</w:t>
      </w:r>
      <w:r w:rsidR="00835B7D">
        <w:t xml:space="preserve"> – Ich bin der, ich bin da für euch“</w:t>
      </w:r>
      <w:r w:rsidR="00835B7D">
        <w:rPr>
          <w:vertAlign w:val="superscript"/>
        </w:rPr>
        <w:t xml:space="preserve"> (Ex 3,14)</w:t>
      </w:r>
      <w:r>
        <w:t xml:space="preserve"> verehrte. Melchisedek </w:t>
      </w:r>
      <w:r w:rsidR="003B7AEC">
        <w:t>n</w:t>
      </w:r>
      <w:r>
        <w:t xml:space="preserve">ennt </w:t>
      </w:r>
      <w:r w:rsidR="008A1D76">
        <w:t>I</w:t>
      </w:r>
      <w:r w:rsidR="008A1D76" w:rsidRPr="008A1D76">
        <w:rPr>
          <w:sz w:val="18"/>
          <w:szCs w:val="18"/>
        </w:rPr>
        <w:t>HN</w:t>
      </w:r>
      <w:r w:rsidR="003B7AEC">
        <w:t xml:space="preserve"> den</w:t>
      </w:r>
      <w:r>
        <w:t xml:space="preserve"> „Schöpfer des Himmels und der E</w:t>
      </w:r>
      <w:r>
        <w:t>r</w:t>
      </w:r>
      <w:r>
        <w:t>de“</w:t>
      </w:r>
      <w:r w:rsidR="00835B7D">
        <w:rPr>
          <w:vertAlign w:val="superscript"/>
        </w:rPr>
        <w:t xml:space="preserve"> (Gen 14,19)</w:t>
      </w:r>
      <w:r>
        <w:t xml:space="preserve">. </w:t>
      </w:r>
      <w:r w:rsidR="008A1D76">
        <w:t>I</w:t>
      </w:r>
      <w:r w:rsidR="008A1D76" w:rsidRPr="008A1D76">
        <w:rPr>
          <w:sz w:val="18"/>
          <w:szCs w:val="18"/>
        </w:rPr>
        <w:t>HM</w:t>
      </w:r>
      <w:r>
        <w:t xml:space="preserve"> bringt er die „Gaben der Erde und der menschlichen A</w:t>
      </w:r>
      <w:r>
        <w:t>r</w:t>
      </w:r>
      <w:r>
        <w:t xml:space="preserve">beit“, Brot und Wein, als Opfer dar, ehe er sie Abraham zur Stärkung </w:t>
      </w:r>
      <w:r w:rsidR="00801693">
        <w:t>reicht</w:t>
      </w:r>
      <w:r>
        <w:t>. Melch</w:t>
      </w:r>
      <w:r>
        <w:t>i</w:t>
      </w:r>
      <w:r>
        <w:t>sedek, Priester und König, ist</w:t>
      </w:r>
      <w:r w:rsidR="002864BF">
        <w:t xml:space="preserve"> </w:t>
      </w:r>
      <w:r w:rsidR="002864BF" w:rsidRPr="002864BF">
        <w:rPr>
          <w:u w:val="single"/>
        </w:rPr>
        <w:t>das</w:t>
      </w:r>
      <w:r>
        <w:t xml:space="preserve"> Vorbild</w:t>
      </w:r>
      <w:r w:rsidR="008A1D76">
        <w:t xml:space="preserve"> das Vorausbild</w:t>
      </w:r>
      <w:r w:rsidR="003B7AEC">
        <w:t xml:space="preserve"> für</w:t>
      </w:r>
      <w:r>
        <w:t xml:space="preserve"> Jesu Christ</w:t>
      </w:r>
      <w:r w:rsidR="003B7AEC">
        <w:t>us</w:t>
      </w:r>
      <w:r>
        <w:t>; seine Opfe</w:t>
      </w:r>
      <w:r>
        <w:t>r</w:t>
      </w:r>
      <w:r>
        <w:t xml:space="preserve">gabe </w:t>
      </w:r>
      <w:r w:rsidR="002864BF">
        <w:t>ist</w:t>
      </w:r>
      <w:r>
        <w:t xml:space="preserve"> Vorbild für das neue Opfer, d</w:t>
      </w:r>
      <w:r w:rsidR="00801693">
        <w:t>as vom Aufgang der Sonne bis zu</w:t>
      </w:r>
      <w:r>
        <w:t xml:space="preserve">m </w:t>
      </w:r>
      <w:r w:rsidR="00801693">
        <w:t>Untergang Gott dargebracht wird</w:t>
      </w:r>
      <w:r w:rsidR="002E46FE">
        <w:rPr>
          <w:vertAlign w:val="superscript"/>
        </w:rPr>
        <w:t xml:space="preserve"> (Mal 1,11)</w:t>
      </w:r>
      <w:r w:rsidR="00801693">
        <w:t>; also auf der ganzen Erde.</w:t>
      </w:r>
      <w:r>
        <w:t xml:space="preserve"> Die Kirchenväter l</w:t>
      </w:r>
      <w:r w:rsidR="00AB7176">
        <w:t>a</w:t>
      </w:r>
      <w:r>
        <w:t>sen</w:t>
      </w:r>
      <w:r w:rsidR="002864BF">
        <w:t xml:space="preserve"> deshalb den </w:t>
      </w:r>
      <w:r>
        <w:t>Psalm</w:t>
      </w:r>
      <w:r w:rsidR="002864BF">
        <w:softHyphen/>
      </w:r>
      <w:r w:rsidR="002864BF">
        <w:softHyphen/>
      </w:r>
      <w:r w:rsidR="002864BF">
        <w:softHyphen/>
        <w:t>vers</w:t>
      </w:r>
      <w:r>
        <w:t xml:space="preserve"> 110, 4 „Du bist Priester auf ewig nach der Ordnung Melchi</w:t>
      </w:r>
      <w:r>
        <w:t>e</w:t>
      </w:r>
      <w:r w:rsidR="003B7AEC">
        <w:softHyphen/>
      </w:r>
      <w:r>
        <w:t xml:space="preserve">sedecks“ </w:t>
      </w:r>
      <w:r w:rsidR="00AB7176">
        <w:t>immer als</w:t>
      </w:r>
      <w:r>
        <w:t xml:space="preserve"> </w:t>
      </w:r>
      <w:r w:rsidR="002864BF">
        <w:t>einen auf</w:t>
      </w:r>
      <w:r>
        <w:t xml:space="preserve"> J</w:t>
      </w:r>
      <w:r>
        <w:t>e</w:t>
      </w:r>
      <w:r>
        <w:t>sus</w:t>
      </w:r>
      <w:r w:rsidR="002864BF">
        <w:t xml:space="preserve"> als den</w:t>
      </w:r>
      <w:r>
        <w:t xml:space="preserve"> Christus hindeutend</w:t>
      </w:r>
      <w:r w:rsidR="002864BF">
        <w:t>en Psalmvers</w:t>
      </w:r>
      <w:r>
        <w:t>.</w:t>
      </w:r>
    </w:p>
    <w:p w:rsidR="00E47646" w:rsidRDefault="003E30FF" w:rsidP="003E30FF">
      <w:pPr>
        <w:jc w:val="both"/>
      </w:pPr>
      <w:r>
        <w:lastRenderedPageBreak/>
        <w:t>In der</w:t>
      </w:r>
      <w:r>
        <w:rPr>
          <w:b/>
        </w:rPr>
        <w:t xml:space="preserve"> </w:t>
      </w:r>
      <w:r>
        <w:rPr>
          <w:i/>
        </w:rPr>
        <w:t>zweiten</w:t>
      </w:r>
      <w:r w:rsidRPr="003E30FF">
        <w:rPr>
          <w:i/>
        </w:rPr>
        <w:t xml:space="preserve"> Lesung</w:t>
      </w:r>
      <w:r>
        <w:t xml:space="preserve"> ist wohl </w:t>
      </w:r>
      <w:r w:rsidR="00AB7176">
        <w:t>ein</w:t>
      </w:r>
      <w:r>
        <w:t xml:space="preserve"> </w:t>
      </w:r>
      <w:r w:rsidR="00E47646">
        <w:t xml:space="preserve">sehr </w:t>
      </w:r>
      <w:r w:rsidR="00AB7176">
        <w:t>a</w:t>
      </w:r>
      <w:r>
        <w:t>lte</w:t>
      </w:r>
      <w:r w:rsidR="00AB7176">
        <w:t>r</w:t>
      </w:r>
      <w:r>
        <w:t xml:space="preserve"> Text erhalten</w:t>
      </w:r>
      <w:r w:rsidR="00E47646">
        <w:t xml:space="preserve"> geblieben</w:t>
      </w:r>
      <w:r>
        <w:t>, der die Überlieferung der Apostel von der Einsetzung der Eucharistie wi</w:t>
      </w:r>
      <w:r>
        <w:t>e</w:t>
      </w:r>
      <w:r>
        <w:t xml:space="preserve">dergibt. </w:t>
      </w:r>
      <w:r w:rsidR="008A1D76">
        <w:t>D</w:t>
      </w:r>
      <w:r w:rsidR="008A1D76">
        <w:t xml:space="preserve">em Apostel Paulus </w:t>
      </w:r>
      <w:r>
        <w:t>geht</w:t>
      </w:r>
      <w:r w:rsidR="00E47646">
        <w:t xml:space="preserve"> </w:t>
      </w:r>
      <w:r w:rsidR="008A1D76">
        <w:t>e</w:t>
      </w:r>
      <w:r w:rsidR="008A1D76">
        <w:t xml:space="preserve">s </w:t>
      </w:r>
      <w:r w:rsidR="00E47646">
        <w:t>aber</w:t>
      </w:r>
      <w:r w:rsidR="008A1D76">
        <w:t xml:space="preserve"> </w:t>
      </w:r>
      <w:r>
        <w:t>– dies wird aus dem Gesamtz</w:t>
      </w:r>
      <w:r>
        <w:t>u</w:t>
      </w:r>
      <w:r>
        <w:t>sammenhang des Briefes deutlich – mehr um die Praxis als um die Le</w:t>
      </w:r>
      <w:r>
        <w:t>h</w:t>
      </w:r>
      <w:r>
        <w:t>re, die in K</w:t>
      </w:r>
      <w:r>
        <w:t>o</w:t>
      </w:r>
      <w:r>
        <w:t>rinth nicht angefochten war. Der Apostel betont: Man kann nicht in der Eucharistie Gemeinschaft mit Christus</w:t>
      </w:r>
      <w:r w:rsidR="003B7AEC">
        <w:t xml:space="preserve"> feiern und</w:t>
      </w:r>
      <w:r>
        <w:t xml:space="preserve"> haben und gleichze</w:t>
      </w:r>
      <w:r>
        <w:t>i</w:t>
      </w:r>
      <w:r>
        <w:t>tig die Bruderliebe verletzen. Das Sakrament der Eucharistie ist die tief</w:t>
      </w:r>
      <w:r>
        <w:t>s</w:t>
      </w:r>
      <w:r>
        <w:t>te Begegnung mit dem H</w:t>
      </w:r>
      <w:r w:rsidR="008A1D76" w:rsidRPr="008A1D76">
        <w:rPr>
          <w:sz w:val="18"/>
          <w:szCs w:val="18"/>
        </w:rPr>
        <w:t>ERRN</w:t>
      </w:r>
      <w:r>
        <w:t xml:space="preserve"> Jesus Christus, der „für euch“ g</w:t>
      </w:r>
      <w:r>
        <w:t>e</w:t>
      </w:r>
      <w:r>
        <w:t xml:space="preserve">storben ist, und der bei </w:t>
      </w:r>
      <w:r w:rsidR="00E47646">
        <w:t>S</w:t>
      </w:r>
      <w:r>
        <w:t>einer Wiederkunft alle richten wird; und zwar d</w:t>
      </w:r>
      <w:r>
        <w:t>a</w:t>
      </w:r>
      <w:r>
        <w:t>nach, ob wir den „Leib des Herrn“</w:t>
      </w:r>
      <w:r w:rsidR="002E46FE">
        <w:rPr>
          <w:vertAlign w:val="superscript"/>
        </w:rPr>
        <w:t xml:space="preserve"> (vgl. 1 Kor 11,29)</w:t>
      </w:r>
      <w:r>
        <w:t xml:space="preserve"> geehrt haben </w:t>
      </w:r>
      <w:r w:rsidR="002E46FE">
        <w:t>–</w:t>
      </w:r>
      <w:r>
        <w:t xml:space="preserve"> im Sa</w:t>
      </w:r>
      <w:r>
        <w:t>k</w:t>
      </w:r>
      <w:r>
        <w:t xml:space="preserve">rament </w:t>
      </w:r>
      <w:r w:rsidRPr="008A1D76">
        <w:rPr>
          <w:u w:val="single"/>
        </w:rPr>
        <w:t>und</w:t>
      </w:r>
      <w:r>
        <w:t xml:space="preserve"> i</w:t>
      </w:r>
      <w:r w:rsidR="002E46FE">
        <w:t>n</w:t>
      </w:r>
      <w:r w:rsidR="00AB7176">
        <w:t xml:space="preserve"> den</w:t>
      </w:r>
      <w:r w:rsidR="002E46FE">
        <w:t xml:space="preserve"> Br</w:t>
      </w:r>
      <w:r w:rsidR="00AB7176">
        <w:t>ü</w:t>
      </w:r>
      <w:r w:rsidR="002E46FE">
        <w:t>der</w:t>
      </w:r>
      <w:r w:rsidR="00AB7176">
        <w:t>n</w:t>
      </w:r>
      <w:r>
        <w:t xml:space="preserve"> </w:t>
      </w:r>
      <w:r w:rsidR="002E46FE">
        <w:t>und</w:t>
      </w:r>
      <w:r>
        <w:t xml:space="preserve"> Schwester</w:t>
      </w:r>
      <w:r w:rsidR="00AB7176">
        <w:t>n</w:t>
      </w:r>
      <w:r>
        <w:t>. Wir können das eine nicht ohne das a</w:t>
      </w:r>
      <w:r>
        <w:t>n</w:t>
      </w:r>
      <w:r>
        <w:t xml:space="preserve">dere tun. </w:t>
      </w:r>
    </w:p>
    <w:p w:rsidR="003E30FF" w:rsidRDefault="003E30FF" w:rsidP="003E30FF">
      <w:pPr>
        <w:jc w:val="both"/>
      </w:pPr>
      <w:r>
        <w:t>Im</w:t>
      </w:r>
      <w:r>
        <w:rPr>
          <w:b/>
        </w:rPr>
        <w:t xml:space="preserve"> </w:t>
      </w:r>
      <w:r w:rsidRPr="002E46FE">
        <w:rPr>
          <w:i/>
        </w:rPr>
        <w:t xml:space="preserve">Evangelium </w:t>
      </w:r>
      <w:r>
        <w:t>h</w:t>
      </w:r>
      <w:r w:rsidR="003B7AEC">
        <w:t>örten wir</w:t>
      </w:r>
      <w:r>
        <w:t xml:space="preserve"> die</w:t>
      </w:r>
      <w:r w:rsidR="003B7AEC">
        <w:t xml:space="preserve"> Speisung der</w:t>
      </w:r>
      <w:r>
        <w:t xml:space="preserve"> Fünftausend </w:t>
      </w:r>
      <w:r w:rsidR="003B7AEC">
        <w:t>durch Jesus. E</w:t>
      </w:r>
      <w:r w:rsidR="008A1D76" w:rsidRPr="008A1D76">
        <w:rPr>
          <w:sz w:val="18"/>
          <w:szCs w:val="18"/>
        </w:rPr>
        <w:t>R</w:t>
      </w:r>
      <w:r w:rsidR="003B7AEC">
        <w:t xml:space="preserve"> tat es,</w:t>
      </w:r>
      <w:r>
        <w:t xml:space="preserve"> weil </w:t>
      </w:r>
      <w:r w:rsidR="003B7AEC">
        <w:t>d</w:t>
      </w:r>
      <w:r>
        <w:t>ie</w:t>
      </w:r>
      <w:r w:rsidR="003B7AEC">
        <w:t xml:space="preserve"> Menschen</w:t>
      </w:r>
      <w:r>
        <w:t xml:space="preserve"> Hunger ha</w:t>
      </w:r>
      <w:r>
        <w:t>t</w:t>
      </w:r>
      <w:r>
        <w:t>ten. Das Volk Israel wurde in der Wüste mit dem Manna gespeist, weil es Hunger hatte. Auch das Gottesvolk des Neuen Bundes wird von Jesus nicht ohne d</w:t>
      </w:r>
      <w:r w:rsidR="003B7AEC">
        <w:t>ie</w:t>
      </w:r>
      <w:r w:rsidR="00801693">
        <w:t xml:space="preserve"> notwendige –</w:t>
      </w:r>
      <w:r>
        <w:t xml:space="preserve"> die Not wendende </w:t>
      </w:r>
      <w:r w:rsidR="003B7AEC">
        <w:t>Speise</w:t>
      </w:r>
      <w:r>
        <w:t xml:space="preserve"> gelassen. Lukas </w:t>
      </w:r>
      <w:r w:rsidR="002E46FE">
        <w:t>setzt</w:t>
      </w:r>
      <w:r w:rsidR="002864BF">
        <w:t xml:space="preserve"> den Bericht über</w:t>
      </w:r>
      <w:r w:rsidR="002E46FE">
        <w:t xml:space="preserve"> </w:t>
      </w:r>
      <w:r>
        <w:t>d</w:t>
      </w:r>
      <w:r w:rsidR="002E46FE">
        <w:t>i</w:t>
      </w:r>
      <w:r>
        <w:t>e Bro</w:t>
      </w:r>
      <w:r>
        <w:t>t</w:t>
      </w:r>
      <w:r>
        <w:t>vermehrung i</w:t>
      </w:r>
      <w:r w:rsidR="002E46FE">
        <w:t>n</w:t>
      </w:r>
      <w:r>
        <w:t xml:space="preserve"> </w:t>
      </w:r>
      <w:r w:rsidR="002E46FE">
        <w:t>einen</w:t>
      </w:r>
      <w:r w:rsidR="002864BF">
        <w:t xml:space="preserve"> deutlichen</w:t>
      </w:r>
      <w:r w:rsidR="002E46FE">
        <w:t xml:space="preserve"> </w:t>
      </w:r>
      <w:r>
        <w:t xml:space="preserve">Zusammenhang </w:t>
      </w:r>
      <w:r w:rsidR="002864BF">
        <w:t>zu</w:t>
      </w:r>
      <w:r>
        <w:t>r Eucharistie. Deutlich sind die Hinweise auf das Letzte Abendmahl Jesu</w:t>
      </w:r>
      <w:r w:rsidR="003B7AEC">
        <w:t xml:space="preserve"> mit den Zwölf</w:t>
      </w:r>
      <w:r>
        <w:t xml:space="preserve"> und die E</w:t>
      </w:r>
      <w:r>
        <w:t>u</w:t>
      </w:r>
      <w:r>
        <w:t>charistiefeier</w:t>
      </w:r>
      <w:r w:rsidR="002864BF">
        <w:t xml:space="preserve"> in</w:t>
      </w:r>
      <w:r>
        <w:t xml:space="preserve"> der Urgemeinde: „Jesus nahm das Brot, sprach d</w:t>
      </w:r>
      <w:r w:rsidR="002864BF">
        <w:t>en</w:t>
      </w:r>
      <w:r>
        <w:t xml:space="preserve"> </w:t>
      </w:r>
      <w:r w:rsidR="002864BF">
        <w:t>Lobpreis und</w:t>
      </w:r>
      <w:r>
        <w:t xml:space="preserve"> brach es,</w:t>
      </w:r>
      <w:r w:rsidR="002864BF">
        <w:t xml:space="preserve"> dann </w:t>
      </w:r>
      <w:r>
        <w:t xml:space="preserve">gab </w:t>
      </w:r>
      <w:r w:rsidR="00801693">
        <w:t xml:space="preserve">er </w:t>
      </w:r>
      <w:r>
        <w:t>es ihnen.“</w:t>
      </w:r>
      <w:r w:rsidR="002864BF">
        <w:rPr>
          <w:vertAlign w:val="superscript"/>
        </w:rPr>
        <w:t xml:space="preserve"> (vgl. Lk 9,16)</w:t>
      </w:r>
      <w:r>
        <w:t xml:space="preserve"> Bis in die Wortwahl stimmen die Beric</w:t>
      </w:r>
      <w:r>
        <w:t>h</w:t>
      </w:r>
      <w:r>
        <w:t>te übe</w:t>
      </w:r>
      <w:r>
        <w:t>r</w:t>
      </w:r>
      <w:r w:rsidR="00801693">
        <w:t>ein.</w:t>
      </w:r>
    </w:p>
    <w:p w:rsidR="003E30FF" w:rsidRDefault="003E30FF" w:rsidP="003E30FF">
      <w:pPr>
        <w:jc w:val="both"/>
      </w:pPr>
      <w:r>
        <w:t xml:space="preserve">Aber </w:t>
      </w:r>
      <w:r w:rsidR="002864BF">
        <w:t>„</w:t>
      </w:r>
      <w:r>
        <w:t xml:space="preserve">wie sollen wir die Eucharistie </w:t>
      </w:r>
      <w:r w:rsidR="008A1D76">
        <w:t>empfangen</w:t>
      </w:r>
      <w:r>
        <w:t>?</w:t>
      </w:r>
      <w:r w:rsidR="002864BF">
        <w:t>“</w:t>
      </w:r>
      <w:r>
        <w:t xml:space="preserve"> Diese Frage wird mir in der letzten Zeit </w:t>
      </w:r>
      <w:r w:rsidR="00AB7176">
        <w:t>des Ö</w:t>
      </w:r>
      <w:r>
        <w:t>ft</w:t>
      </w:r>
      <w:r w:rsidR="00AB7176">
        <w:t>eren</w:t>
      </w:r>
      <w:r>
        <w:t xml:space="preserve"> gestellt</w:t>
      </w:r>
      <w:r w:rsidR="008A1D76">
        <w:t>, da viele durch die Corona-Schutzmaßnahmen verunsichert sind</w:t>
      </w:r>
      <w:r>
        <w:t xml:space="preserve">. </w:t>
      </w:r>
      <w:r w:rsidR="006D5FE0">
        <w:t>Es gibt</w:t>
      </w:r>
      <w:r>
        <w:t xml:space="preserve"> zwei Formen</w:t>
      </w:r>
      <w:r w:rsidR="002864BF">
        <w:t>, die, wie Papst Benedikt XVI. immer neu betonte, gleichwertig sind</w:t>
      </w:r>
      <w:r>
        <w:t>:</w:t>
      </w:r>
      <w:r w:rsidR="006D5FE0">
        <w:t xml:space="preserve"> die</w:t>
      </w:r>
      <w:r>
        <w:t xml:space="preserve"> Mund- </w:t>
      </w:r>
      <w:r w:rsidR="00AB7176">
        <w:t>und</w:t>
      </w:r>
      <w:r w:rsidR="006D5FE0">
        <w:t xml:space="preserve"> die</w:t>
      </w:r>
      <w:r>
        <w:t xml:space="preserve"> Handkommunion. Zur letzteren sagt Cyrill von Jerusalem</w:t>
      </w:r>
      <w:r>
        <w:rPr>
          <w:rStyle w:val="Funotenzeichen"/>
        </w:rPr>
        <w:footnoteReference w:id="1"/>
      </w:r>
      <w:r>
        <w:t>: „Beim Vortreten streck die Hände nicht flach aus.., sondern leg die li</w:t>
      </w:r>
      <w:r>
        <w:t>n</w:t>
      </w:r>
      <w:r>
        <w:t>ke...(und rechte Hand untereinander) wie einen Thron, um den König zu empfa</w:t>
      </w:r>
      <w:r>
        <w:t>n</w:t>
      </w:r>
      <w:r>
        <w:t>gen. Nimm mit der holen Hand den Leib Christi auf und antwo</w:t>
      </w:r>
      <w:r>
        <w:t>r</w:t>
      </w:r>
      <w:r>
        <w:t>te: ,Amen’. Behutsam... i</w:t>
      </w:r>
      <w:r w:rsidR="002E46FE">
        <w:t>ss</w:t>
      </w:r>
      <w:r>
        <w:t xml:space="preserve"> dann und achte sorgfältig darauf, da</w:t>
      </w:r>
      <w:r w:rsidR="002E46FE">
        <w:t>ss</w:t>
      </w:r>
      <w:r>
        <w:t xml:space="preserve"> dir nichts verloren geht... Noch viel behutsamer als bei Gold und Edelste</w:t>
      </w:r>
      <w:r>
        <w:t>i</w:t>
      </w:r>
      <w:r>
        <w:t>nen mu</w:t>
      </w:r>
      <w:r w:rsidR="002E46FE">
        <w:t>ss</w:t>
      </w:r>
      <w:r>
        <w:t>t du hier darauf achten, da</w:t>
      </w:r>
      <w:r w:rsidR="002E46FE">
        <w:t>ss</w:t>
      </w:r>
      <w:r>
        <w:t xml:space="preserve"> dir nicht das kleinste Teilchen h</w:t>
      </w:r>
      <w:r>
        <w:t>e</w:t>
      </w:r>
      <w:r>
        <w:t>runterfällt... Dann... danke Gott, der dich solcher Geheimnisse gewü</w:t>
      </w:r>
      <w:r>
        <w:t>r</w:t>
      </w:r>
      <w:r>
        <w:t>digt hat.“</w:t>
      </w:r>
      <w:r>
        <w:rPr>
          <w:rStyle w:val="Funotenzeichen"/>
        </w:rPr>
        <w:footnoteReference w:id="2"/>
      </w:r>
      <w:r w:rsidR="002E46FE">
        <w:t xml:space="preserve"> </w:t>
      </w:r>
      <w:r w:rsidR="008A1D76">
        <w:t>Das Zitat von Cyrill von Jerusalem zeigt, dass die Handkommunion ein bis in die</w:t>
      </w:r>
      <w:r w:rsidR="007967F3">
        <w:t xml:space="preserve"> Frühzeit der Kirche reichende Tradition hat.</w:t>
      </w:r>
    </w:p>
    <w:p w:rsidR="002E46FE" w:rsidRDefault="002E46FE" w:rsidP="003E30FF">
      <w:pPr>
        <w:jc w:val="both"/>
      </w:pPr>
      <w:r>
        <w:lastRenderedPageBreak/>
        <w:t>Wegen der Möglichkeit, Teilchen der Hostie zu verlieren hat sich in Teilen der Christenheit die Mundkommunion entwickelt. Beide Formen sind zugelassen; beide Formen sollen mit der gebührenden E</w:t>
      </w:r>
      <w:r>
        <w:t>r</w:t>
      </w:r>
      <w:r>
        <w:t>furcht</w:t>
      </w:r>
      <w:r w:rsidR="00A711A4">
        <w:t xml:space="preserve"> und Vorsicht</w:t>
      </w:r>
      <w:r>
        <w:t xml:space="preserve"> empfangen werden.</w:t>
      </w:r>
      <w:r w:rsidR="00AB7176">
        <w:t xml:space="preserve"> </w:t>
      </w:r>
    </w:p>
    <w:p w:rsidR="003E30FF" w:rsidRDefault="003E30FF" w:rsidP="003E30FF">
      <w:pPr>
        <w:jc w:val="both"/>
      </w:pPr>
      <w:r>
        <w:t>Das Fest Fronleichnam ist für uns zuerst das Fest der Eucharistie, des im Brot gegenwärtigen</w:t>
      </w:r>
      <w:r w:rsidR="00A20DC5">
        <w:t xml:space="preserve"> und auf uns wartenden </w:t>
      </w:r>
      <w:r>
        <w:t>Herrn. Wir können dies G</w:t>
      </w:r>
      <w:r>
        <w:t>e</w:t>
      </w:r>
      <w:r>
        <w:t>heimnis aber auch als Fest der immer größeren Entäußerung Gottes ve</w:t>
      </w:r>
      <w:r>
        <w:t>r</w:t>
      </w:r>
      <w:r>
        <w:t xml:space="preserve">stehen. „Gott hat es </w:t>
      </w:r>
      <w:r>
        <w:rPr>
          <w:u w:val="single"/>
        </w:rPr>
        <w:t>gewagt</w:t>
      </w:r>
      <w:r>
        <w:t>: E</w:t>
      </w:r>
      <w:r w:rsidR="007967F3" w:rsidRPr="007967F3">
        <w:rPr>
          <w:sz w:val="18"/>
          <w:szCs w:val="18"/>
        </w:rPr>
        <w:t>R</w:t>
      </w:r>
      <w:r>
        <w:t xml:space="preserve"> hat den Menschen nach </w:t>
      </w:r>
      <w:r w:rsidR="007967F3">
        <w:t>S</w:t>
      </w:r>
      <w:r>
        <w:t>einem Bild und Gleichnis</w:t>
      </w:r>
      <w:r w:rsidR="000D2818">
        <w:t>“, als Mann und Frau</w:t>
      </w:r>
      <w:r>
        <w:t xml:space="preserve"> </w:t>
      </w:r>
      <w:r w:rsidR="000D2818">
        <w:t>„</w:t>
      </w:r>
      <w:r>
        <w:t xml:space="preserve">geschaffen. Und dann das </w:t>
      </w:r>
      <w:r>
        <w:rPr>
          <w:u w:val="single"/>
        </w:rPr>
        <w:t>zweite Wagnis</w:t>
      </w:r>
      <w:r>
        <w:t>: die Mensc</w:t>
      </w:r>
      <w:r>
        <w:t>h</w:t>
      </w:r>
      <w:r>
        <w:t xml:space="preserve">werdung </w:t>
      </w:r>
      <w:r w:rsidR="007967F3">
        <w:t>S</w:t>
      </w:r>
      <w:r>
        <w:t>eines Sohnes, des ganz Heiligen, der in allem uns Menschen gleich wur</w:t>
      </w:r>
      <w:r w:rsidR="003B7AEC">
        <w:softHyphen/>
      </w:r>
      <w:r>
        <w:t xml:space="preserve">de“, außer der Sünde. „Und das </w:t>
      </w:r>
      <w:r>
        <w:rPr>
          <w:u w:val="single"/>
        </w:rPr>
        <w:t>dritte</w:t>
      </w:r>
      <w:r>
        <w:t>: da</w:t>
      </w:r>
      <w:r w:rsidR="00A20DC5">
        <w:t>ss</w:t>
      </w:r>
      <w:r>
        <w:t xml:space="preserve"> der mensch</w:t>
      </w:r>
      <w:r>
        <w:softHyphen/>
        <w:t xml:space="preserve">gewordene Sohn für </w:t>
      </w:r>
      <w:r w:rsidR="007967F3">
        <w:t>S</w:t>
      </w:r>
      <w:r>
        <w:t>eine Brüder</w:t>
      </w:r>
      <w:r w:rsidR="007967F3">
        <w:t xml:space="preserve"> und Schwestern</w:t>
      </w:r>
      <w:r>
        <w:t xml:space="preserve"> das Brot des Lebens sein will. Das ist </w:t>
      </w:r>
      <w:r w:rsidR="007967F3">
        <w:t>S</w:t>
      </w:r>
      <w:r>
        <w:t>eine Oste</w:t>
      </w:r>
      <w:r>
        <w:t>r</w:t>
      </w:r>
      <w:r>
        <w:t>gabe, in göttlicher Li</w:t>
      </w:r>
      <w:r>
        <w:t>e</w:t>
      </w:r>
      <w:r>
        <w:t>be jedem gereicht, der Hunger nach Gott hat. Nimm und i</w:t>
      </w:r>
      <w:r w:rsidR="00A20DC5">
        <w:t>ss</w:t>
      </w:r>
      <w:r>
        <w:t>! Du sollst l</w:t>
      </w:r>
      <w:r>
        <w:t>e</w:t>
      </w:r>
      <w:r>
        <w:t>ben.“</w:t>
      </w:r>
      <w:r>
        <w:rPr>
          <w:rStyle w:val="Funotenzeichen"/>
        </w:rPr>
        <w:footnoteReference w:id="3"/>
      </w:r>
    </w:p>
    <w:p w:rsidR="003E30FF" w:rsidRDefault="003E30FF" w:rsidP="003E30FF">
      <w:pPr>
        <w:jc w:val="both"/>
      </w:pPr>
      <w:r>
        <w:t xml:space="preserve">Diese immer größere Entäußerung Gottes zeigt </w:t>
      </w:r>
      <w:r w:rsidR="007967F3">
        <w:t>S</w:t>
      </w:r>
      <w:bookmarkStart w:id="0" w:name="_GoBack"/>
      <w:bookmarkEnd w:id="0"/>
      <w:r>
        <w:t>eine Liebe zu uns. Kö</w:t>
      </w:r>
      <w:r>
        <w:t>n</w:t>
      </w:r>
      <w:r>
        <w:t>nen wir sie verstehen? Gibt es für eine solche Liebe Anknüpfung</w:t>
      </w:r>
      <w:r>
        <w:t>s</w:t>
      </w:r>
      <w:r>
        <w:t>punkte in uns</w:t>
      </w:r>
      <w:r>
        <w:t>e</w:t>
      </w:r>
      <w:r>
        <w:t>rem Leben?</w:t>
      </w:r>
      <w:r w:rsidR="00AB7176">
        <w:t xml:space="preserve"> – Noch einmal ein Text von Silja Walter.</w:t>
      </w:r>
    </w:p>
    <w:p w:rsidR="003E30FF" w:rsidRPr="002E46FE" w:rsidRDefault="003E30FF" w:rsidP="003E30FF">
      <w:pPr>
        <w:jc w:val="both"/>
        <w:rPr>
          <w:sz w:val="12"/>
          <w:szCs w:val="12"/>
        </w:rPr>
      </w:pPr>
    </w:p>
    <w:p w:rsidR="003E30FF" w:rsidRDefault="003E30FF" w:rsidP="003E30FF">
      <w:pPr>
        <w:jc w:val="both"/>
      </w:pPr>
      <w:r>
        <w:t>Herr,</w:t>
      </w:r>
    </w:p>
    <w:p w:rsidR="003E30FF" w:rsidRDefault="003E30FF" w:rsidP="003E30FF">
      <w:pPr>
        <w:jc w:val="both"/>
      </w:pPr>
      <w:r>
        <w:t>ich kann dich nicht</w:t>
      </w:r>
    </w:p>
    <w:p w:rsidR="003E30FF" w:rsidRDefault="003E30FF" w:rsidP="003E30FF">
      <w:pPr>
        <w:jc w:val="both"/>
      </w:pPr>
      <w:r>
        <w:t>haben</w:t>
      </w:r>
    </w:p>
    <w:p w:rsidR="003E30FF" w:rsidRDefault="003E30FF" w:rsidP="003E30FF">
      <w:pPr>
        <w:jc w:val="both"/>
      </w:pPr>
      <w:r>
        <w:t>in Andacht und Schweigen</w:t>
      </w:r>
    </w:p>
    <w:p w:rsidR="003E30FF" w:rsidRDefault="003E30FF" w:rsidP="003E30FF">
      <w:pPr>
        <w:jc w:val="both"/>
      </w:pPr>
      <w:r>
        <w:t>und heimtragen</w:t>
      </w:r>
    </w:p>
    <w:p w:rsidR="003E30FF" w:rsidRDefault="003E30FF" w:rsidP="003E30FF">
      <w:pPr>
        <w:jc w:val="both"/>
      </w:pPr>
      <w:r>
        <w:t>nach Haus,</w:t>
      </w:r>
    </w:p>
    <w:p w:rsidR="003E30FF" w:rsidRDefault="003E30FF" w:rsidP="003E30FF">
      <w:pPr>
        <w:jc w:val="both"/>
      </w:pPr>
      <w:r>
        <w:t>als wärst du mein Eigen.</w:t>
      </w:r>
    </w:p>
    <w:p w:rsidR="003E30FF" w:rsidRDefault="003E30FF" w:rsidP="003E30FF">
      <w:pPr>
        <w:ind w:left="567"/>
        <w:jc w:val="both"/>
      </w:pPr>
      <w:r>
        <w:t>In Brot und Wein,</w:t>
      </w:r>
    </w:p>
    <w:p w:rsidR="003E30FF" w:rsidRDefault="003E30FF" w:rsidP="003E30FF">
      <w:pPr>
        <w:ind w:left="567"/>
        <w:jc w:val="both"/>
      </w:pPr>
      <w:r>
        <w:t>deinen Gaben,</w:t>
      </w:r>
    </w:p>
    <w:p w:rsidR="003E30FF" w:rsidRDefault="003E30FF" w:rsidP="003E30FF">
      <w:pPr>
        <w:ind w:left="567"/>
        <w:jc w:val="both"/>
      </w:pPr>
      <w:r>
        <w:t>drängst du aus mir</w:t>
      </w:r>
    </w:p>
    <w:p w:rsidR="003E30FF" w:rsidRDefault="003E30FF" w:rsidP="003E30FF">
      <w:pPr>
        <w:ind w:left="567"/>
        <w:jc w:val="both"/>
      </w:pPr>
      <w:r>
        <w:t>in die Welt hinaus.</w:t>
      </w:r>
    </w:p>
    <w:p w:rsidR="003E30FF" w:rsidRDefault="003E30FF" w:rsidP="003E30FF">
      <w:pPr>
        <w:jc w:val="both"/>
      </w:pPr>
      <w:r>
        <w:t>Ich kann mich nicht haben,</w:t>
      </w:r>
    </w:p>
    <w:p w:rsidR="003E30FF" w:rsidRDefault="003E30FF" w:rsidP="003E30FF">
      <w:pPr>
        <w:jc w:val="both"/>
      </w:pPr>
      <w:r>
        <w:t>mir selber gehören,</w:t>
      </w:r>
    </w:p>
    <w:p w:rsidR="003E30FF" w:rsidRDefault="003E30FF" w:rsidP="003E30FF">
      <w:pPr>
        <w:jc w:val="both"/>
      </w:pPr>
      <w:r>
        <w:t>wo du mich umgibst.</w:t>
      </w:r>
    </w:p>
    <w:p w:rsidR="003E30FF" w:rsidRDefault="003E30FF" w:rsidP="003E30FF">
      <w:pPr>
        <w:jc w:val="both"/>
      </w:pPr>
      <w:r>
        <w:t>Du kommst, mich zu lehren, wie sehr du</w:t>
      </w:r>
    </w:p>
    <w:p w:rsidR="003E30FF" w:rsidRDefault="003E30FF" w:rsidP="003E30FF">
      <w:pPr>
        <w:jc w:val="both"/>
      </w:pPr>
      <w:r>
        <w:t>in deiner Ankunft in mir</w:t>
      </w:r>
    </w:p>
    <w:p w:rsidR="003E30FF" w:rsidRDefault="003E30FF" w:rsidP="003E30FF">
      <w:pPr>
        <w:jc w:val="both"/>
      </w:pPr>
      <w:r>
        <w:t>meine Brüder und Schwestern</w:t>
      </w:r>
    </w:p>
    <w:p w:rsidR="00A711A4" w:rsidRDefault="003E30FF" w:rsidP="003E30FF">
      <w:pPr>
        <w:jc w:val="both"/>
        <w:rPr>
          <w:i/>
        </w:rPr>
      </w:pPr>
      <w:r>
        <w:t>liebst.</w:t>
      </w:r>
      <w:r w:rsidR="000D2818">
        <w:t xml:space="preserve"> </w:t>
      </w:r>
      <w:r w:rsidR="000D2818">
        <w:tab/>
      </w:r>
      <w:r w:rsidR="000D2818">
        <w:tab/>
      </w:r>
      <w:r w:rsidR="000D2818">
        <w:tab/>
      </w:r>
      <w:r w:rsidR="000D2818">
        <w:tab/>
      </w:r>
      <w:r w:rsidR="000D2818">
        <w:tab/>
      </w:r>
      <w:r w:rsidR="000D2818">
        <w:tab/>
      </w:r>
      <w:r w:rsidR="000D2818">
        <w:tab/>
      </w:r>
      <w:r w:rsidR="000D2818">
        <w:tab/>
      </w:r>
      <w:r w:rsidR="000D2818">
        <w:tab/>
        <w:t>Amen.</w:t>
      </w:r>
    </w:p>
    <w:sectPr w:rsidR="00A711A4" w:rsidSect="007967F3">
      <w:headerReference w:type="default" r:id="rId6"/>
      <w:footerReference w:type="even" r:id="rId7"/>
      <w:footerReference w:type="default" r:id="rId8"/>
      <w:pgSz w:w="8419" w:h="11906" w:orient="landscape" w:code="9"/>
      <w:pgMar w:top="624" w:right="680" w:bottom="624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D5E" w:rsidRDefault="007D4D5E">
      <w:r>
        <w:separator/>
      </w:r>
    </w:p>
  </w:endnote>
  <w:endnote w:type="continuationSeparator" w:id="0">
    <w:p w:rsidR="007D4D5E" w:rsidRDefault="007D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646" w:rsidRDefault="00E47646" w:rsidP="00640F2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7646" w:rsidRDefault="00E476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646" w:rsidRPr="003E30FF" w:rsidRDefault="00E47646" w:rsidP="00640F29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3E30FF">
      <w:rPr>
        <w:rStyle w:val="Seitenzahl"/>
        <w:sz w:val="20"/>
        <w:szCs w:val="20"/>
      </w:rPr>
      <w:fldChar w:fldCharType="begin"/>
    </w:r>
    <w:r w:rsidRPr="003E30FF">
      <w:rPr>
        <w:rStyle w:val="Seitenzahl"/>
        <w:sz w:val="20"/>
        <w:szCs w:val="20"/>
      </w:rPr>
      <w:instrText xml:space="preserve">PAGE  </w:instrText>
    </w:r>
    <w:r w:rsidRPr="003E30FF">
      <w:rPr>
        <w:rStyle w:val="Seitenzahl"/>
        <w:sz w:val="20"/>
        <w:szCs w:val="20"/>
      </w:rPr>
      <w:fldChar w:fldCharType="separate"/>
    </w:r>
    <w:r w:rsidR="009E7A4C">
      <w:rPr>
        <w:rStyle w:val="Seitenzahl"/>
        <w:noProof/>
        <w:sz w:val="20"/>
        <w:szCs w:val="20"/>
      </w:rPr>
      <w:t>2</w:t>
    </w:r>
    <w:r w:rsidRPr="003E30FF">
      <w:rPr>
        <w:rStyle w:val="Seitenzahl"/>
        <w:sz w:val="20"/>
        <w:szCs w:val="20"/>
      </w:rPr>
      <w:fldChar w:fldCharType="end"/>
    </w:r>
  </w:p>
  <w:p w:rsidR="00E47646" w:rsidRPr="003E30FF" w:rsidRDefault="00E4764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D5E" w:rsidRDefault="007D4D5E">
      <w:r>
        <w:separator/>
      </w:r>
    </w:p>
  </w:footnote>
  <w:footnote w:type="continuationSeparator" w:id="0">
    <w:p w:rsidR="007D4D5E" w:rsidRDefault="007D4D5E">
      <w:r>
        <w:continuationSeparator/>
      </w:r>
    </w:p>
  </w:footnote>
  <w:footnote w:id="1">
    <w:p w:rsidR="00E47646" w:rsidRDefault="00E47646" w:rsidP="003E30FF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Cyrill von Jerusalem, Katechese V,21 und 22; gehalten 348-350; + 387 </w:t>
      </w:r>
    </w:p>
  </w:footnote>
  <w:footnote w:id="2">
    <w:p w:rsidR="00E47646" w:rsidRDefault="00E47646" w:rsidP="003E30FF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Schott C</w:t>
      </w:r>
      <w:r w:rsidR="000D2818">
        <w:rPr>
          <w:sz w:val="16"/>
        </w:rPr>
        <w:t>, Herder-Verlag, Großausgabe 2002</w:t>
      </w:r>
      <w:r>
        <w:rPr>
          <w:sz w:val="16"/>
        </w:rPr>
        <w:t>, Seite 330</w:t>
      </w:r>
    </w:p>
  </w:footnote>
  <w:footnote w:id="3">
    <w:p w:rsidR="00E47646" w:rsidRPr="000D2818" w:rsidRDefault="00E47646" w:rsidP="003E30FF">
      <w:pPr>
        <w:pStyle w:val="Funotentext"/>
        <w:rPr>
          <w:sz w:val="16"/>
          <w:szCs w:val="16"/>
        </w:rPr>
      </w:pPr>
      <w:r w:rsidRPr="000D2818">
        <w:rPr>
          <w:rStyle w:val="Funotenzeichen"/>
          <w:sz w:val="16"/>
          <w:szCs w:val="16"/>
        </w:rPr>
        <w:footnoteRef/>
      </w:r>
      <w:r w:rsidRPr="000D2818">
        <w:rPr>
          <w:sz w:val="16"/>
          <w:szCs w:val="16"/>
        </w:rPr>
        <w:t xml:space="preserve"> </w:t>
      </w:r>
      <w:r w:rsidR="000D2818" w:rsidRPr="000D2818">
        <w:rPr>
          <w:sz w:val="16"/>
          <w:szCs w:val="16"/>
        </w:rPr>
        <w:t xml:space="preserve">Ebd. </w:t>
      </w:r>
      <w:r w:rsidRPr="000D2818">
        <w:rPr>
          <w:sz w:val="16"/>
          <w:szCs w:val="16"/>
        </w:rPr>
        <w:t>Schott C, Einführung in Fronleichnam, Seite 322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646" w:rsidRPr="003E30FF" w:rsidRDefault="00E47646">
    <w:pPr>
      <w:pStyle w:val="Kopfzeile"/>
      <w:rPr>
        <w:sz w:val="16"/>
        <w:szCs w:val="16"/>
      </w:rPr>
    </w:pPr>
    <w:r>
      <w:rPr>
        <w:sz w:val="16"/>
        <w:szCs w:val="16"/>
      </w:rPr>
      <w:t xml:space="preserve">Fronleichnam – C – </w:t>
    </w:r>
    <w:r w:rsidR="00CB310C">
      <w:rPr>
        <w:sz w:val="16"/>
        <w:szCs w:val="16"/>
      </w:rPr>
      <w:t>22</w:t>
    </w:r>
    <w:r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FF"/>
    <w:rsid w:val="0000737E"/>
    <w:rsid w:val="000A46C3"/>
    <w:rsid w:val="000D2818"/>
    <w:rsid w:val="002864BF"/>
    <w:rsid w:val="002E46FE"/>
    <w:rsid w:val="003B7AEC"/>
    <w:rsid w:val="003E30FF"/>
    <w:rsid w:val="00534CB3"/>
    <w:rsid w:val="005F020A"/>
    <w:rsid w:val="00640F29"/>
    <w:rsid w:val="00655BDA"/>
    <w:rsid w:val="006D5FE0"/>
    <w:rsid w:val="007967F3"/>
    <w:rsid w:val="007D4D5E"/>
    <w:rsid w:val="00801693"/>
    <w:rsid w:val="0080654C"/>
    <w:rsid w:val="00835B7D"/>
    <w:rsid w:val="008A1D76"/>
    <w:rsid w:val="009C154E"/>
    <w:rsid w:val="009E7A4C"/>
    <w:rsid w:val="00A20DC5"/>
    <w:rsid w:val="00A711A4"/>
    <w:rsid w:val="00AB7176"/>
    <w:rsid w:val="00B66BA8"/>
    <w:rsid w:val="00CB310C"/>
    <w:rsid w:val="00D95D00"/>
    <w:rsid w:val="00DE20F9"/>
    <w:rsid w:val="00E47646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B3CFF"/>
  <w15:chartTrackingRefBased/>
  <w15:docId w15:val="{F7FC558B-7E81-4261-922B-CA98A7F3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3E30F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unotenzeichen">
    <w:name w:val="footnote reference"/>
    <w:semiHidden/>
    <w:rsid w:val="003E30FF"/>
    <w:rPr>
      <w:vertAlign w:val="superscript"/>
    </w:rPr>
  </w:style>
  <w:style w:type="paragraph" w:styleId="Fuzeile">
    <w:name w:val="footer"/>
    <w:basedOn w:val="Standard"/>
    <w:rsid w:val="003E30F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30FF"/>
  </w:style>
  <w:style w:type="paragraph" w:styleId="Kopfzeile">
    <w:name w:val="header"/>
    <w:basedOn w:val="Standard"/>
    <w:rsid w:val="003E30F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Eucharistie</vt:lpstr>
    </vt:vector>
  </TitlesOfParts>
  <Company>Erzbischöfliches Ordinariat Berlin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Eucharistie</dc:title>
  <dc:subject/>
  <dc:creator>Armin Kögler</dc:creator>
  <cp:keywords/>
  <dc:description/>
  <cp:lastModifiedBy>Armin Kögler</cp:lastModifiedBy>
  <cp:revision>3</cp:revision>
  <dcterms:created xsi:type="dcterms:W3CDTF">2022-06-08T13:23:00Z</dcterms:created>
  <dcterms:modified xsi:type="dcterms:W3CDTF">2022-06-08T13:39:00Z</dcterms:modified>
</cp:coreProperties>
</file>