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7B6" w:rsidRPr="009069CF" w:rsidRDefault="00AB279F" w:rsidP="009069CF">
      <w:pPr>
        <w:jc w:val="both"/>
      </w:pPr>
      <w:r w:rsidRPr="009069CF">
        <w:t>Liebe Gemeinde, d</w:t>
      </w:r>
      <w:r w:rsidR="009E7360" w:rsidRPr="009069CF">
        <w:t xml:space="preserve">er Eröffnungsvers der Messe fordert uns </w:t>
      </w:r>
      <w:r w:rsidR="009069CF" w:rsidRPr="009069CF">
        <w:t>zur</w:t>
      </w:r>
      <w:r w:rsidR="009E7360" w:rsidRPr="009069CF">
        <w:t xml:space="preserve"> Freu</w:t>
      </w:r>
      <w:r w:rsidR="009069CF" w:rsidRPr="009069CF">
        <w:t>d</w:t>
      </w:r>
      <w:r w:rsidR="009E7360" w:rsidRPr="009069CF">
        <w:t xml:space="preserve">e </w:t>
      </w:r>
      <w:r w:rsidR="009069CF" w:rsidRPr="009069CF">
        <w:t>auf.</w:t>
      </w:r>
      <w:r w:rsidR="009E7360" w:rsidRPr="009069CF">
        <w:t xml:space="preserve"> Zwar ist d</w:t>
      </w:r>
      <w:r w:rsidR="00055E74" w:rsidRPr="009069CF">
        <w:t xml:space="preserve">as Evangelium vom „verlorenen Sohn“, oder „barmherzigen Vater“ – ein bekannter Text. </w:t>
      </w:r>
      <w:r w:rsidR="002837B6" w:rsidRPr="009069CF">
        <w:t>Der Umgang Jesus mit den Zöllnern und Sündern</w:t>
      </w:r>
      <w:r w:rsidR="009E7360" w:rsidRPr="009069CF">
        <w:t xml:space="preserve"> </w:t>
      </w:r>
      <w:r w:rsidR="002837B6" w:rsidRPr="009069CF">
        <w:t>war und ist</w:t>
      </w:r>
      <w:r w:rsidR="00FB54B0" w:rsidRPr="009069CF">
        <w:t>,</w:t>
      </w:r>
      <w:r w:rsidR="002837B6" w:rsidRPr="009069CF">
        <w:t xml:space="preserve"> nicht nur für die damaligen „gerechten Menschen“</w:t>
      </w:r>
      <w:r w:rsidR="00FB54B0" w:rsidRPr="009069CF">
        <w:t>,</w:t>
      </w:r>
      <w:r w:rsidR="002837B6" w:rsidRPr="009069CF">
        <w:t xml:space="preserve"> eine Provokation. Er ist bis heute ein Skandal</w:t>
      </w:r>
      <w:r w:rsidR="00D250D9" w:rsidRPr="009069CF">
        <w:t>, ein Skandal</w:t>
      </w:r>
      <w:r w:rsidR="002837B6" w:rsidRPr="009069CF">
        <w:t xml:space="preserve"> für alle, die von ihrer eigenen „Gerechtigkeit“ überzeugt sind. Bei Zachäus wird dies besonders deutlich. Die „Gerechten“ sind empört: „</w:t>
      </w:r>
      <w:r w:rsidRPr="009069CF">
        <w:t>Er ist b</w:t>
      </w:r>
      <w:r w:rsidR="002837B6" w:rsidRPr="009069CF">
        <w:t>ei</w:t>
      </w:r>
      <w:r w:rsidR="00746FE0" w:rsidRPr="009069CF">
        <w:t xml:space="preserve"> einem</w:t>
      </w:r>
      <w:r w:rsidR="002837B6" w:rsidRPr="009069CF">
        <w:t xml:space="preserve"> Sünder eingekehrt</w:t>
      </w:r>
      <w:r w:rsidR="00746FE0" w:rsidRPr="009069CF">
        <w:t>“</w:t>
      </w:r>
      <w:r w:rsidR="002837B6" w:rsidRPr="009069CF">
        <w:t xml:space="preserve"> und isst sogar mit ihnen.</w:t>
      </w:r>
      <w:r w:rsidR="00145D97" w:rsidRPr="009069CF">
        <w:rPr>
          <w:vertAlign w:val="superscript"/>
        </w:rPr>
        <w:t xml:space="preserve"> (vgl. Lk 19,7)</w:t>
      </w:r>
      <w:r w:rsidR="002837B6" w:rsidRPr="009069CF">
        <w:t xml:space="preserve"> – Man hört</w:t>
      </w:r>
      <w:r w:rsidR="009E7360" w:rsidRPr="009069CF">
        <w:t xml:space="preserve"> bis heute</w:t>
      </w:r>
      <w:r w:rsidR="002837B6" w:rsidRPr="009069CF">
        <w:t xml:space="preserve"> das pfui – igitt der</w:t>
      </w:r>
      <w:r w:rsidRPr="009069CF">
        <w:t xml:space="preserve"> empörten</w:t>
      </w:r>
      <w:r w:rsidR="002837B6" w:rsidRPr="009069CF">
        <w:t xml:space="preserve"> Zuschauer</w:t>
      </w:r>
      <w:r w:rsidR="009E7360" w:rsidRPr="009069CF">
        <w:t xml:space="preserve"> heraus</w:t>
      </w:r>
      <w:r w:rsidR="002837B6" w:rsidRPr="009069CF">
        <w:t xml:space="preserve">. </w:t>
      </w:r>
    </w:p>
    <w:p w:rsidR="002837B6" w:rsidRPr="009069CF" w:rsidRDefault="00BA6B7F" w:rsidP="009069CF">
      <w:pPr>
        <w:jc w:val="both"/>
      </w:pPr>
      <w:r w:rsidRPr="009069CF">
        <w:t>D</w:t>
      </w:r>
      <w:r w:rsidR="002837B6" w:rsidRPr="009069CF">
        <w:t xml:space="preserve">urch Jesu Handeln </w:t>
      </w:r>
      <w:r w:rsidRPr="009069CF">
        <w:t xml:space="preserve">aber </w:t>
      </w:r>
      <w:r w:rsidR="002837B6" w:rsidRPr="009069CF">
        <w:t xml:space="preserve">ist Zachäus in der Lage, </w:t>
      </w:r>
      <w:r w:rsidR="00AB279F" w:rsidRPr="009069CF">
        <w:t xml:space="preserve">Gottes </w:t>
      </w:r>
      <w:r w:rsidR="002837B6" w:rsidRPr="009069CF">
        <w:t xml:space="preserve">Angebot anzunehmen und den Schritt der Umkehr zu wagen. </w:t>
      </w:r>
    </w:p>
    <w:p w:rsidR="002837B6" w:rsidRPr="009069CF" w:rsidRDefault="00AB279F" w:rsidP="009069CF">
      <w:pPr>
        <w:jc w:val="both"/>
      </w:pPr>
      <w:r w:rsidRPr="009069CF">
        <w:t>W</w:t>
      </w:r>
      <w:r w:rsidR="002837B6" w:rsidRPr="009069CF">
        <w:t xml:space="preserve">ie ist dieses Angebot? </w:t>
      </w:r>
      <w:r w:rsidR="00D250D9" w:rsidRPr="009069CF">
        <w:t xml:space="preserve">– </w:t>
      </w:r>
      <w:r w:rsidR="002837B6" w:rsidRPr="009069CF">
        <w:t>Immer</w:t>
      </w:r>
      <w:r w:rsidR="00D250D9" w:rsidRPr="009069CF">
        <w:t xml:space="preserve"> </w:t>
      </w:r>
      <w:r w:rsidR="002837B6" w:rsidRPr="009069CF">
        <w:t>konkret! D</w:t>
      </w:r>
      <w:r w:rsidR="00BA6B7F" w:rsidRPr="009069CF">
        <w:t>a</w:t>
      </w:r>
      <w:r w:rsidR="002837B6" w:rsidRPr="009069CF">
        <w:t xml:space="preserve">s zeigt </w:t>
      </w:r>
      <w:r w:rsidRPr="009069CF">
        <w:t>Gottes</w:t>
      </w:r>
      <w:r w:rsidR="002837B6" w:rsidRPr="009069CF">
        <w:t xml:space="preserve"> fürsorgliche</w:t>
      </w:r>
      <w:r w:rsidR="003A03EB">
        <w:t>s</w:t>
      </w:r>
      <w:r w:rsidR="002837B6" w:rsidRPr="009069CF">
        <w:t xml:space="preserve"> Handeln am </w:t>
      </w:r>
      <w:r w:rsidRPr="009069CF">
        <w:t>V</w:t>
      </w:r>
      <w:r w:rsidR="002837B6" w:rsidRPr="009069CF">
        <w:t>olk</w:t>
      </w:r>
      <w:r w:rsidRPr="009069CF">
        <w:t xml:space="preserve"> Israel</w:t>
      </w:r>
      <w:r w:rsidR="002837B6" w:rsidRPr="009069CF">
        <w:t xml:space="preserve"> beim Auszug aus Ägypten und auf der Wüstenwanderung, von deren Ende die </w:t>
      </w:r>
      <w:r w:rsidR="002837B6" w:rsidRPr="009069CF">
        <w:rPr>
          <w:i/>
          <w:iCs/>
        </w:rPr>
        <w:t>erste Lesung</w:t>
      </w:r>
      <w:r w:rsidR="002837B6" w:rsidRPr="009069CF">
        <w:t xml:space="preserve"> sprach. Bei</w:t>
      </w:r>
      <w:r w:rsidR="00D250D9" w:rsidRPr="009069CF">
        <w:t>m</w:t>
      </w:r>
      <w:r w:rsidR="002837B6" w:rsidRPr="009069CF">
        <w:t xml:space="preserve"> Z</w:t>
      </w:r>
      <w:r w:rsidR="00D250D9" w:rsidRPr="009069CF">
        <w:t>öllner</w:t>
      </w:r>
      <w:r w:rsidR="002837B6" w:rsidRPr="009069CF">
        <w:t xml:space="preserve"> war es das „Zachäus, komm schnell herunter! </w:t>
      </w:r>
      <w:r w:rsidR="00746FE0" w:rsidRPr="009069CF">
        <w:t>Denn i</w:t>
      </w:r>
      <w:r w:rsidR="002837B6" w:rsidRPr="009069CF">
        <w:t>ch muss heute</w:t>
      </w:r>
      <w:r w:rsidR="00746FE0" w:rsidRPr="009069CF">
        <w:t xml:space="preserve"> in deinem Haus bleiben“</w:t>
      </w:r>
      <w:r w:rsidR="00746FE0" w:rsidRPr="009069CF">
        <w:rPr>
          <w:vertAlign w:val="superscript"/>
        </w:rPr>
        <w:t xml:space="preserve"> (Lk19,5)</w:t>
      </w:r>
      <w:r w:rsidR="00746FE0" w:rsidRPr="009069CF">
        <w:t>, früher:</w:t>
      </w:r>
      <w:r w:rsidR="002837B6" w:rsidRPr="009069CF">
        <w:t xml:space="preserve"> </w:t>
      </w:r>
      <w:r w:rsidR="00746FE0" w:rsidRPr="009069CF">
        <w:t>bei dir zu Gast sein! „In deinem Haus bleiben“ ist stärker.</w:t>
      </w:r>
      <w:r w:rsidR="0018276F" w:rsidRPr="009069CF">
        <w:rPr>
          <w:vertAlign w:val="superscript"/>
        </w:rPr>
        <w:t xml:space="preserve"> </w:t>
      </w:r>
      <w:r w:rsidR="00746FE0" w:rsidRPr="009069CF">
        <w:t xml:space="preserve">Gott </w:t>
      </w:r>
      <w:r w:rsidR="002837B6" w:rsidRPr="009069CF">
        <w:t>macht auch uns immer neu</w:t>
      </w:r>
      <w:r w:rsidR="00746FE0" w:rsidRPr="009069CF">
        <w:t xml:space="preserve"> An</w:t>
      </w:r>
      <w:r w:rsidR="00746FE0" w:rsidRPr="009069CF">
        <w:softHyphen/>
        <w:t>gebote</w:t>
      </w:r>
      <w:r w:rsidR="009069CF" w:rsidRPr="009069CF">
        <w:t xml:space="preserve"> für die Umkehr</w:t>
      </w:r>
      <w:r w:rsidR="002837B6" w:rsidRPr="009069CF">
        <w:t xml:space="preserve">. </w:t>
      </w:r>
      <w:r w:rsidR="00145D97" w:rsidRPr="009069CF">
        <w:t>Von Zachäus her können wir sagen:</w:t>
      </w:r>
      <w:r w:rsidR="002837B6" w:rsidRPr="009069CF">
        <w:t xml:space="preserve"> Umkehr </w:t>
      </w:r>
      <w:r w:rsidR="00145D97" w:rsidRPr="009069CF">
        <w:t xml:space="preserve">ist </w:t>
      </w:r>
      <w:r w:rsidR="002837B6" w:rsidRPr="009069CF">
        <w:t>Einwilligung in Gottes Angebot</w:t>
      </w:r>
      <w:r w:rsidR="00D250D9" w:rsidRPr="009069CF">
        <w:t>!</w:t>
      </w:r>
      <w:r w:rsidR="002837B6" w:rsidRPr="009069CF">
        <w:t xml:space="preserve"> </w:t>
      </w:r>
      <w:r w:rsidR="00D250D9" w:rsidRPr="009069CF">
        <w:t xml:space="preserve">– </w:t>
      </w:r>
      <w:r w:rsidR="00145D97" w:rsidRPr="009069CF">
        <w:t>Unsere</w:t>
      </w:r>
      <w:r w:rsidR="00D250D9" w:rsidRPr="009069CF">
        <w:t xml:space="preserve"> </w:t>
      </w:r>
      <w:r w:rsidR="00145D97" w:rsidRPr="009069CF">
        <w:t xml:space="preserve">Berufung </w:t>
      </w:r>
      <w:r w:rsidR="002837B6" w:rsidRPr="009069CF">
        <w:t>ist</w:t>
      </w:r>
      <w:r w:rsidR="00145D97" w:rsidRPr="009069CF">
        <w:t xml:space="preserve"> </w:t>
      </w:r>
      <w:r w:rsidR="00414A34" w:rsidRPr="009069CF">
        <w:t>es ja,</w:t>
      </w:r>
      <w:r w:rsidR="002837B6" w:rsidRPr="009069CF">
        <w:t xml:space="preserve"> „Neue Schöpfung“ zu werden.</w:t>
      </w:r>
      <w:r w:rsidR="00CF0FA7" w:rsidRPr="009069CF">
        <w:t xml:space="preserve"> </w:t>
      </w:r>
      <w:r w:rsidR="00CF0FA7" w:rsidRPr="009069CF">
        <w:rPr>
          <w:vertAlign w:val="superscript"/>
        </w:rPr>
        <w:t>(2 Kor 5,17)</w:t>
      </w:r>
      <w:r w:rsidR="002837B6" w:rsidRPr="009069CF">
        <w:rPr>
          <w:vertAlign w:val="superscript"/>
        </w:rPr>
        <w:t xml:space="preserve"> </w:t>
      </w:r>
      <w:r w:rsidR="002837B6" w:rsidRPr="009069CF">
        <w:t xml:space="preserve"> Davon sprach die </w:t>
      </w:r>
      <w:r w:rsidR="002837B6" w:rsidRPr="009069CF">
        <w:rPr>
          <w:i/>
          <w:iCs/>
        </w:rPr>
        <w:t>zweite Lesung.</w:t>
      </w:r>
      <w:r w:rsidR="00746FE0" w:rsidRPr="009069CF">
        <w:rPr>
          <w:i/>
          <w:iCs/>
        </w:rPr>
        <w:t xml:space="preserve"> </w:t>
      </w:r>
    </w:p>
    <w:p w:rsidR="002837B6" w:rsidRPr="009069CF" w:rsidRDefault="00BA6B7F" w:rsidP="009069CF">
      <w:pPr>
        <w:jc w:val="both"/>
      </w:pPr>
      <w:r w:rsidRPr="009069CF">
        <w:t xml:space="preserve">Zugleich </w:t>
      </w:r>
      <w:r w:rsidR="00746FE0" w:rsidRPr="009069CF">
        <w:t>sind</w:t>
      </w:r>
      <w:r w:rsidR="002837B6" w:rsidRPr="009069CF">
        <w:t xml:space="preserve"> </w:t>
      </w:r>
      <w:r w:rsidR="00746FE0" w:rsidRPr="009069CF">
        <w:t xml:space="preserve">Gottes </w:t>
      </w:r>
      <w:r w:rsidR="002837B6" w:rsidRPr="009069CF">
        <w:t>Angebot</w:t>
      </w:r>
      <w:r w:rsidR="00746FE0" w:rsidRPr="009069CF">
        <w:t>e</w:t>
      </w:r>
      <w:r w:rsidR="002837B6" w:rsidRPr="009069CF">
        <w:t xml:space="preserve"> sehr unterschiedlich</w:t>
      </w:r>
      <w:r w:rsidR="00123984">
        <w:t>, da sie</w:t>
      </w:r>
      <w:r w:rsidR="002837B6" w:rsidRPr="009069CF">
        <w:t xml:space="preserve"> </w:t>
      </w:r>
      <w:r w:rsidR="009069CF" w:rsidRPr="009069CF">
        <w:t>auf</w:t>
      </w:r>
      <w:r w:rsidR="002837B6" w:rsidRPr="009069CF">
        <w:t xml:space="preserve"> jeden Menschen </w:t>
      </w:r>
      <w:r w:rsidR="00055E74" w:rsidRPr="009069CF">
        <w:t>ganz</w:t>
      </w:r>
      <w:r w:rsidR="002837B6" w:rsidRPr="009069CF">
        <w:t xml:space="preserve"> per</w:t>
      </w:r>
      <w:r w:rsidR="00145D97" w:rsidRPr="009069CF">
        <w:t>sönlich zugeschnitten</w:t>
      </w:r>
      <w:r w:rsidR="00123984">
        <w:t xml:space="preserve"> sind</w:t>
      </w:r>
      <w:r w:rsidR="00145D97" w:rsidRPr="009069CF">
        <w:t xml:space="preserve">. </w:t>
      </w:r>
    </w:p>
    <w:p w:rsidR="002837B6" w:rsidRPr="009069CF" w:rsidRDefault="002837B6" w:rsidP="009069CF">
      <w:pPr>
        <w:jc w:val="both"/>
      </w:pPr>
      <w:r w:rsidRPr="009069CF">
        <w:t xml:space="preserve">Das zeigt sich deutlich am heutigen </w:t>
      </w:r>
      <w:r w:rsidRPr="009069CF">
        <w:rPr>
          <w:i/>
          <w:iCs/>
        </w:rPr>
        <w:t>Evangelium</w:t>
      </w:r>
      <w:r w:rsidRPr="009069CF">
        <w:t xml:space="preserve"> vom verlorenen Sohn. – Es</w:t>
      </w:r>
      <w:r w:rsidR="003740E4" w:rsidRPr="009069CF">
        <w:t xml:space="preserve"> als „Gleichnis</w:t>
      </w:r>
      <w:r w:rsidRPr="009069CF">
        <w:t xml:space="preserve"> vom barmherzigen Vater</w:t>
      </w:r>
      <w:r w:rsidR="003740E4" w:rsidRPr="009069CF">
        <w:t>“</w:t>
      </w:r>
      <w:r w:rsidRPr="009069CF">
        <w:t xml:space="preserve"> zu </w:t>
      </w:r>
      <w:r w:rsidR="003740E4" w:rsidRPr="009069CF">
        <w:t>bezeichnen</w:t>
      </w:r>
      <w:r w:rsidRPr="009069CF">
        <w:t xml:space="preserve"> ist zwar mo</w:t>
      </w:r>
      <w:r w:rsidR="009E7360" w:rsidRPr="009069CF">
        <w:t>dern</w:t>
      </w:r>
      <w:r w:rsidR="00FB54B0" w:rsidRPr="009069CF">
        <w:t>,</w:t>
      </w:r>
      <w:r w:rsidRPr="009069CF">
        <w:t xml:space="preserve"> </w:t>
      </w:r>
      <w:r w:rsidR="00FB54B0" w:rsidRPr="009069CF">
        <w:t xml:space="preserve">bei Lukas aber </w:t>
      </w:r>
      <w:r w:rsidRPr="009069CF">
        <w:t xml:space="preserve">steht </w:t>
      </w:r>
      <w:r w:rsidR="00AB279F" w:rsidRPr="009069CF">
        <w:t>das Gleichnis</w:t>
      </w:r>
      <w:r w:rsidR="00FB54B0" w:rsidRPr="009069CF">
        <w:t xml:space="preserve"> </w:t>
      </w:r>
      <w:r w:rsidRPr="009069CF">
        <w:t xml:space="preserve">in einem </w:t>
      </w:r>
      <w:r w:rsidR="00AB279F" w:rsidRPr="009069CF">
        <w:t>Kontext</w:t>
      </w:r>
      <w:r w:rsidRPr="009069CF">
        <w:t>, in dem es um</w:t>
      </w:r>
      <w:r w:rsidR="00123984">
        <w:t xml:space="preserve"> die</w:t>
      </w:r>
      <w:r w:rsidRPr="009069CF">
        <w:t xml:space="preserve"> Rückkehr oder</w:t>
      </w:r>
      <w:r w:rsidR="00123984">
        <w:t xml:space="preserve"> das</w:t>
      </w:r>
      <w:r w:rsidRPr="009069CF">
        <w:t xml:space="preserve"> Wi</w:t>
      </w:r>
      <w:r w:rsidR="00746FE0" w:rsidRPr="009069CF">
        <w:t>e</w:t>
      </w:r>
      <w:r w:rsidRPr="009069CF">
        <w:t>derfinden von Verlorenem geht.</w:t>
      </w:r>
      <w:r w:rsidR="00D250D9" w:rsidRPr="009069CF">
        <w:t xml:space="preserve"> Vor dem </w:t>
      </w:r>
      <w:r w:rsidR="00123984">
        <w:t>heutigen</w:t>
      </w:r>
      <w:r w:rsidR="00D250D9" w:rsidRPr="009069CF">
        <w:t xml:space="preserve"> </w:t>
      </w:r>
      <w:r w:rsidR="00123984" w:rsidRPr="009069CF">
        <w:t>Gleichnis</w:t>
      </w:r>
      <w:r w:rsidR="00D250D9" w:rsidRPr="009069CF">
        <w:t xml:space="preserve"> </w:t>
      </w:r>
      <w:r w:rsidR="00123984" w:rsidRPr="009069CF">
        <w:t>stehen</w:t>
      </w:r>
      <w:r w:rsidR="00123984">
        <w:t xml:space="preserve"> die Texte</w:t>
      </w:r>
      <w:r w:rsidR="00123984" w:rsidRPr="009069CF">
        <w:t xml:space="preserve"> </w:t>
      </w:r>
      <w:r w:rsidR="00D250D9" w:rsidRPr="009069CF">
        <w:t>vom verlorenen Schaf und von der verlorenen Drachme</w:t>
      </w:r>
      <w:r w:rsidR="00123984">
        <w:t>.</w:t>
      </w:r>
      <w:r w:rsidR="00D250D9" w:rsidRPr="009069CF">
        <w:t xml:space="preserve"> </w:t>
      </w:r>
      <w:r w:rsidR="00123984">
        <w:t>S</w:t>
      </w:r>
      <w:r w:rsidR="00D250D9" w:rsidRPr="009069CF">
        <w:t xml:space="preserve">ie </w:t>
      </w:r>
      <w:r w:rsidR="00123984" w:rsidRPr="009069CF">
        <w:t>zeigen</w:t>
      </w:r>
      <w:r w:rsidR="00123984" w:rsidRPr="009069CF">
        <w:t xml:space="preserve"> </w:t>
      </w:r>
      <w:r w:rsidR="00AB279F" w:rsidRPr="009069CF">
        <w:t xml:space="preserve">Gottes </w:t>
      </w:r>
      <w:r w:rsidR="00D250D9" w:rsidRPr="009069CF">
        <w:t xml:space="preserve">Sorge für </w:t>
      </w:r>
      <w:r w:rsidR="00AB279F" w:rsidRPr="009069CF">
        <w:t>jeden</w:t>
      </w:r>
      <w:r w:rsidR="00414A34" w:rsidRPr="009069CF">
        <w:t xml:space="preserve"> einzelnen, auch wenn der sich als überflüssig vorkommt</w:t>
      </w:r>
      <w:r w:rsidR="00D250D9" w:rsidRPr="009069CF">
        <w:t>. Am deutlichsten wird dies im heutigen Gleichnis.</w:t>
      </w:r>
      <w:r w:rsidRPr="009069CF">
        <w:t xml:space="preserve"> </w:t>
      </w:r>
      <w:r w:rsidR="00CF0FA7" w:rsidRPr="009069CF">
        <w:t>Deshalb ist der „verlorene Sohn“ dem Evangeli</w:t>
      </w:r>
      <w:r w:rsidR="009E7360" w:rsidRPr="009069CF">
        <w:t>um</w:t>
      </w:r>
      <w:r w:rsidR="00CF0FA7" w:rsidRPr="009069CF">
        <w:t xml:space="preserve"> gemäß</w:t>
      </w:r>
      <w:r w:rsidR="00145D97" w:rsidRPr="009069CF">
        <w:t>er</w:t>
      </w:r>
      <w:r w:rsidR="00CF0FA7" w:rsidRPr="009069CF">
        <w:t>.</w:t>
      </w:r>
      <w:r w:rsidR="009E7360" w:rsidRPr="009069CF">
        <w:t xml:space="preserve"> </w:t>
      </w:r>
    </w:p>
    <w:p w:rsidR="00145D97" w:rsidRPr="009069CF" w:rsidRDefault="002837B6" w:rsidP="009069CF">
      <w:pPr>
        <w:jc w:val="both"/>
      </w:pPr>
      <w:r w:rsidRPr="009069CF">
        <w:t xml:space="preserve">Beschäftigen Sie sich oft mit diesem </w:t>
      </w:r>
      <w:r w:rsidR="00123984">
        <w:t>Gleichnis</w:t>
      </w:r>
      <w:r w:rsidRPr="009069CF">
        <w:t xml:space="preserve">, betrachten Sie es, buchstabieren Sie die einzelnen Personen durch, „ruminieren – wiederkäuen“ Sie die Verse – wie es die Wüstenväter </w:t>
      </w:r>
      <w:r w:rsidR="00D250D9" w:rsidRPr="009069CF">
        <w:t>t</w:t>
      </w:r>
      <w:r w:rsidRPr="009069CF">
        <w:t xml:space="preserve">aten. </w:t>
      </w:r>
      <w:r w:rsidR="00145D97" w:rsidRPr="009069CF">
        <w:t>Denken</w:t>
      </w:r>
      <w:r w:rsidR="00BA6B7F" w:rsidRPr="009069CF">
        <w:t xml:space="preserve"> Sie sich</w:t>
      </w:r>
      <w:r w:rsidR="00145D97" w:rsidRPr="009069CF">
        <w:t xml:space="preserve"> in die ein</w:t>
      </w:r>
      <w:r w:rsidR="009069CF" w:rsidRPr="009069CF">
        <w:softHyphen/>
      </w:r>
      <w:r w:rsidR="00145D97" w:rsidRPr="009069CF">
        <w:t>zel</w:t>
      </w:r>
      <w:r w:rsidR="009069CF" w:rsidRPr="009069CF">
        <w:softHyphen/>
      </w:r>
      <w:r w:rsidR="00145D97" w:rsidRPr="009069CF">
        <w:t>nen Personen hinein</w:t>
      </w:r>
      <w:r w:rsidR="00123984">
        <w:t>;</w:t>
      </w:r>
      <w:r w:rsidR="00BA6B7F" w:rsidRPr="009069CF">
        <w:t xml:space="preserve"> sagen Sie zu sich selbst:</w:t>
      </w:r>
      <w:r w:rsidRPr="009069CF">
        <w:t xml:space="preserve"> ich</w:t>
      </w:r>
      <w:r w:rsidR="00BA6B7F" w:rsidRPr="009069CF">
        <w:t xml:space="preserve"> bin</w:t>
      </w:r>
      <w:r w:rsidRPr="009069CF">
        <w:t xml:space="preserve"> der Vater</w:t>
      </w:r>
      <w:r w:rsidR="00145D97" w:rsidRPr="009069CF">
        <w:t>; dann in einem weiteren Schritt:</w:t>
      </w:r>
      <w:r w:rsidRPr="009069CF">
        <w:t xml:space="preserve"> ich</w:t>
      </w:r>
      <w:r w:rsidR="001E375C" w:rsidRPr="009069CF">
        <w:t xml:space="preserve"> bin</w:t>
      </w:r>
      <w:r w:rsidRPr="009069CF">
        <w:t xml:space="preserve"> der zu Hause gebliebene Sohn</w:t>
      </w:r>
      <w:r w:rsidR="00145D97" w:rsidRPr="009069CF">
        <w:t xml:space="preserve">; </w:t>
      </w:r>
      <w:r w:rsidR="009E7360" w:rsidRPr="009069CF">
        <w:t>d</w:t>
      </w:r>
      <w:r w:rsidR="00145D97" w:rsidRPr="009069CF">
        <w:t>ann:</w:t>
      </w:r>
      <w:r w:rsidRPr="009069CF">
        <w:t xml:space="preserve"> ich</w:t>
      </w:r>
      <w:r w:rsidR="001E375C" w:rsidRPr="009069CF">
        <w:t xml:space="preserve"> bin</w:t>
      </w:r>
      <w:r w:rsidRPr="009069CF">
        <w:t xml:space="preserve"> der Zurück</w:t>
      </w:r>
      <w:r w:rsidRPr="009069CF">
        <w:softHyphen/>
        <w:t>ge</w:t>
      </w:r>
      <w:r w:rsidRPr="009069CF">
        <w:softHyphen/>
        <w:t>kehrte, den der Vater wieder aufnimmt</w:t>
      </w:r>
      <w:r w:rsidR="00145D97" w:rsidRPr="009069CF">
        <w:t xml:space="preserve"> usw</w:t>
      </w:r>
      <w:r w:rsidRPr="009069CF">
        <w:t xml:space="preserve">. Mit den Söhnen können wir dies leicht tun, aber beim Vater haben wir vielleicht Angst, uns etwas anzumaßen, was uns nicht zusteht. Denn: Dieser Vater </w:t>
      </w:r>
      <w:r w:rsidRPr="009069CF">
        <w:lastRenderedPageBreak/>
        <w:t>ist Gott</w:t>
      </w:r>
      <w:r w:rsidR="00AB279F" w:rsidRPr="009069CF">
        <w:t>!</w:t>
      </w:r>
      <w:r w:rsidR="00AD1C16" w:rsidRPr="009069CF">
        <w:t xml:space="preserve"> – Da wir aber eingeladen sind, unser eigenes Handeln immer mehr von Gottes Handeln her zu denken</w:t>
      </w:r>
      <w:r w:rsidR="00414A34" w:rsidRPr="009069CF">
        <w:t xml:space="preserve"> und bestimmen zu lassen</w:t>
      </w:r>
      <w:r w:rsidR="00055E74" w:rsidRPr="009069CF">
        <w:t>,</w:t>
      </w:r>
      <w:r w:rsidR="00AD1C16" w:rsidRPr="009069CF">
        <w:t xml:space="preserve"> kann diese Übung eine wichtige Hilfe sein. </w:t>
      </w:r>
    </w:p>
    <w:p w:rsidR="002837B6" w:rsidRPr="009069CF" w:rsidRDefault="00145D97" w:rsidP="009069CF">
      <w:pPr>
        <w:jc w:val="both"/>
      </w:pPr>
      <w:r w:rsidRPr="009069CF">
        <w:t>Vielleicht</w:t>
      </w:r>
      <w:r w:rsidR="00BA6B7F" w:rsidRPr="009069CF">
        <w:t xml:space="preserve"> </w:t>
      </w:r>
      <w:r w:rsidRPr="009069CF">
        <w:t xml:space="preserve">fragen </w:t>
      </w:r>
      <w:r w:rsidR="00BA6B7F" w:rsidRPr="009069CF">
        <w:t>m</w:t>
      </w:r>
      <w:r w:rsidR="002837B6" w:rsidRPr="009069CF">
        <w:t xml:space="preserve">anche </w:t>
      </w:r>
      <w:r w:rsidRPr="009069CF">
        <w:t>auch</w:t>
      </w:r>
      <w:r w:rsidR="00BA6B7F" w:rsidRPr="009069CF">
        <w:t>:</w:t>
      </w:r>
      <w:r w:rsidR="002837B6" w:rsidRPr="009069CF">
        <w:t xml:space="preserve"> </w:t>
      </w:r>
      <w:r w:rsidR="00BA6B7F" w:rsidRPr="009069CF">
        <w:t>Ist</w:t>
      </w:r>
      <w:r w:rsidR="002837B6" w:rsidRPr="009069CF">
        <w:t xml:space="preserve"> </w:t>
      </w:r>
      <w:r w:rsidR="00BA6B7F" w:rsidRPr="009069CF">
        <w:t xml:space="preserve">denn </w:t>
      </w:r>
      <w:r w:rsidR="002837B6" w:rsidRPr="009069CF">
        <w:t>das Handeln des Vaters gerecht</w:t>
      </w:r>
      <w:r w:rsidR="00BA6B7F" w:rsidRPr="009069CF">
        <w:t>?</w:t>
      </w:r>
      <w:r w:rsidR="00AD1C16" w:rsidRPr="009069CF">
        <w:t xml:space="preserve"> </w:t>
      </w:r>
      <w:r w:rsidR="00AB279F" w:rsidRPr="009069CF">
        <w:t xml:space="preserve">Jesus erzählt das </w:t>
      </w:r>
      <w:r w:rsidR="00BA6B7F" w:rsidRPr="009069CF">
        <w:t>Gleichnis</w:t>
      </w:r>
      <w:r w:rsidR="00AB279F" w:rsidRPr="009069CF">
        <w:t>;</w:t>
      </w:r>
      <w:r w:rsidR="002837B6" w:rsidRPr="009069CF">
        <w:t xml:space="preserve"> unsere Aufgabe als Christen ist es, immer tiefer in</w:t>
      </w:r>
      <w:r w:rsidRPr="009069CF">
        <w:t xml:space="preserve"> Seine Denkweise, in</w:t>
      </w:r>
      <w:r w:rsidR="002837B6" w:rsidRPr="009069CF">
        <w:t xml:space="preserve"> </w:t>
      </w:r>
      <w:r w:rsidR="00553C0E" w:rsidRPr="009069CF">
        <w:t xml:space="preserve">Gottes </w:t>
      </w:r>
      <w:r w:rsidR="002837B6" w:rsidRPr="009069CF">
        <w:t xml:space="preserve">Denkweise hineinzukommen. Also müssen wir in Betrachtung </w:t>
      </w:r>
      <w:r w:rsidR="00123984">
        <w:t>und</w:t>
      </w:r>
      <w:r w:rsidR="002837B6" w:rsidRPr="009069CF">
        <w:t xml:space="preserve"> Meditation auch diese Rolle gut buchstabieren. Sie hilft uns</w:t>
      </w:r>
      <w:r w:rsidR="00055E74" w:rsidRPr="009069CF">
        <w:t>,</w:t>
      </w:r>
      <w:r w:rsidR="002837B6" w:rsidRPr="009069CF">
        <w:t xml:space="preserve"> Gott zu verstehen, </w:t>
      </w:r>
      <w:r w:rsidR="00123984">
        <w:t>I</w:t>
      </w:r>
      <w:r w:rsidR="00123984" w:rsidRPr="00123984">
        <w:rPr>
          <w:sz w:val="18"/>
          <w:szCs w:val="18"/>
        </w:rPr>
        <w:t>HM</w:t>
      </w:r>
      <w:r w:rsidR="002837B6" w:rsidRPr="009069CF">
        <w:t xml:space="preserve"> näher zu kommen. </w:t>
      </w:r>
      <w:r w:rsidR="009069CF">
        <w:t>Blicken wir auf Einzelheiten des Gleichnisses</w:t>
      </w:r>
    </w:p>
    <w:p w:rsidR="009069CF" w:rsidRPr="009069CF" w:rsidRDefault="009069CF" w:rsidP="009069CF">
      <w:pPr>
        <w:jc w:val="both"/>
        <w:rPr>
          <w:rFonts w:eastAsiaTheme="minorHAnsi"/>
          <w:lang w:eastAsia="en-US"/>
        </w:rPr>
      </w:pPr>
      <w:r w:rsidRPr="009069CF">
        <w:rPr>
          <w:rFonts w:eastAsiaTheme="minorHAnsi"/>
          <w:lang w:eastAsia="en-US"/>
        </w:rPr>
        <w:t>Der jüngere Sohn träumt von der Freiheit. Was er im Haus seines Vaters lebte und erlebt ist für ihn altbacken</w:t>
      </w:r>
      <w:r>
        <w:rPr>
          <w:rFonts w:eastAsiaTheme="minorHAnsi"/>
          <w:lang w:eastAsia="en-US"/>
        </w:rPr>
        <w:t>,</w:t>
      </w:r>
      <w:r w:rsidRPr="009069CF">
        <w:rPr>
          <w:rFonts w:eastAsiaTheme="minorHAnsi"/>
          <w:lang w:eastAsia="en-US"/>
        </w:rPr>
        <w:t xml:space="preserve"> einengend. </w:t>
      </w:r>
      <w:r>
        <w:rPr>
          <w:rFonts w:eastAsiaTheme="minorHAnsi"/>
          <w:lang w:eastAsia="en-US"/>
        </w:rPr>
        <w:t>E</w:t>
      </w:r>
      <w:r w:rsidRPr="009069CF">
        <w:rPr>
          <w:rFonts w:eastAsiaTheme="minorHAnsi"/>
          <w:lang w:eastAsia="en-US"/>
        </w:rPr>
        <w:t xml:space="preserve">r erträumt sich mit seinem, ihm nach dem Tod des Vaters zustehenden Erbe, die große Zukunft. Endlich weg vom „Alten“! Irgendwann lebt er nur noch in den Träumen von Freiheit, die für ihn ein „machen, was man will“ bedeutet. Das Freiheit auch Verantwortung bedeutet, kommt ihm nicht in den Sinn. </w:t>
      </w:r>
    </w:p>
    <w:p w:rsidR="009069CF" w:rsidRPr="009069CF" w:rsidRDefault="009069CF" w:rsidP="009069CF">
      <w:pPr>
        <w:jc w:val="both"/>
        <w:rPr>
          <w:rFonts w:eastAsiaTheme="minorHAnsi"/>
          <w:lang w:eastAsia="en-US"/>
        </w:rPr>
      </w:pPr>
      <w:r w:rsidRPr="009069CF">
        <w:rPr>
          <w:rFonts w:eastAsiaTheme="minorHAnsi"/>
          <w:lang w:eastAsia="en-US"/>
        </w:rPr>
        <w:t>Um endlich die erträumte Freiheit zu erreichen, bittet er den Vater: „Gib mir das Erbteil, das mir zusteht!“</w:t>
      </w:r>
      <w:r w:rsidRPr="009069CF">
        <w:rPr>
          <w:rFonts w:eastAsiaTheme="minorHAnsi"/>
          <w:vertAlign w:val="superscript"/>
          <w:lang w:eastAsia="en-US"/>
        </w:rPr>
        <w:t xml:space="preserve"> (v 12)</w:t>
      </w:r>
      <w:r w:rsidRPr="009069CF">
        <w:rPr>
          <w:rFonts w:eastAsiaTheme="minorHAnsi"/>
          <w:lang w:eastAsia="en-US"/>
        </w:rPr>
        <w:t xml:space="preserve"> Der Vater lässt sich auf diese ungeheure Bitte ein. </w:t>
      </w:r>
      <w:r w:rsidR="008C6481">
        <w:rPr>
          <w:rFonts w:eastAsiaTheme="minorHAnsi"/>
          <w:lang w:eastAsia="en-US"/>
        </w:rPr>
        <w:t>Im d</w:t>
      </w:r>
      <w:r w:rsidRPr="009069CF">
        <w:rPr>
          <w:rFonts w:eastAsiaTheme="minorHAnsi"/>
          <w:lang w:eastAsia="en-US"/>
        </w:rPr>
        <w:t>amal</w:t>
      </w:r>
      <w:r w:rsidR="008C6481">
        <w:rPr>
          <w:rFonts w:eastAsiaTheme="minorHAnsi"/>
          <w:lang w:eastAsia="en-US"/>
        </w:rPr>
        <w:t>igen Kontext</w:t>
      </w:r>
      <w:r w:rsidRPr="009069CF">
        <w:rPr>
          <w:rFonts w:eastAsiaTheme="minorHAnsi"/>
          <w:lang w:eastAsia="en-US"/>
        </w:rPr>
        <w:t xml:space="preserve"> bedeutet </w:t>
      </w:r>
      <w:r w:rsidR="00123984">
        <w:rPr>
          <w:rFonts w:eastAsiaTheme="minorHAnsi"/>
          <w:lang w:eastAsia="en-US"/>
        </w:rPr>
        <w:t>sie</w:t>
      </w:r>
      <w:r w:rsidR="008C6481">
        <w:rPr>
          <w:rFonts w:eastAsiaTheme="minorHAnsi"/>
          <w:lang w:eastAsia="en-US"/>
        </w:rPr>
        <w:t>:</w:t>
      </w:r>
      <w:r w:rsidRPr="009069CF">
        <w:rPr>
          <w:rFonts w:eastAsiaTheme="minorHAnsi"/>
          <w:lang w:eastAsia="en-US"/>
        </w:rPr>
        <w:t xml:space="preserve"> der jüngere Sohn </w:t>
      </w:r>
      <w:r w:rsidR="008C6481" w:rsidRPr="009069CF">
        <w:rPr>
          <w:rFonts w:eastAsiaTheme="minorHAnsi"/>
          <w:lang w:eastAsia="en-US"/>
        </w:rPr>
        <w:t xml:space="preserve">erklärt </w:t>
      </w:r>
      <w:r w:rsidRPr="009069CF">
        <w:rPr>
          <w:rFonts w:eastAsiaTheme="minorHAnsi"/>
          <w:lang w:eastAsia="en-US"/>
        </w:rPr>
        <w:t xml:space="preserve">den Vater für tot, </w:t>
      </w:r>
      <w:r w:rsidR="008C6481" w:rsidRPr="009069CF">
        <w:rPr>
          <w:rFonts w:eastAsiaTheme="minorHAnsi"/>
          <w:lang w:eastAsia="en-US"/>
        </w:rPr>
        <w:t>sieht</w:t>
      </w:r>
      <w:r w:rsidR="008C6481">
        <w:rPr>
          <w:rFonts w:eastAsiaTheme="minorHAnsi"/>
          <w:lang w:eastAsia="en-US"/>
        </w:rPr>
        <w:t xml:space="preserve"> </w:t>
      </w:r>
      <w:r w:rsidRPr="009069CF">
        <w:rPr>
          <w:rFonts w:eastAsiaTheme="minorHAnsi"/>
          <w:lang w:eastAsia="en-US"/>
        </w:rPr>
        <w:t xml:space="preserve">ihn als herumlaufende Leiche. Zu Lebzeiten das Erbe zu verlangen, kam einem für tot erklären gleich. Kein menschlicher Vater würde sich auf ein solches Ansinnen einlassen; eher würde er wohl den Sohn aus dem Haus </w:t>
      </w:r>
      <w:r w:rsidR="00123984">
        <w:rPr>
          <w:rFonts w:eastAsiaTheme="minorHAnsi"/>
          <w:lang w:eastAsia="en-US"/>
        </w:rPr>
        <w:t>jagen</w:t>
      </w:r>
      <w:r w:rsidRPr="009069CF">
        <w:rPr>
          <w:rFonts w:eastAsiaTheme="minorHAnsi"/>
          <w:lang w:eastAsia="en-US"/>
        </w:rPr>
        <w:t>. Gott, der Vater im Gleichnis, lässt sich darauf ein. Der jüngere</w:t>
      </w:r>
      <w:r w:rsidR="004E7C77">
        <w:rPr>
          <w:rFonts w:eastAsiaTheme="minorHAnsi"/>
          <w:lang w:eastAsia="en-US"/>
        </w:rPr>
        <w:t xml:space="preserve"> Sohn</w:t>
      </w:r>
      <w:r w:rsidRPr="009069CF">
        <w:rPr>
          <w:rFonts w:eastAsiaTheme="minorHAnsi"/>
          <w:lang w:eastAsia="en-US"/>
        </w:rPr>
        <w:t xml:space="preserve"> packt alles zusammen und haut ab. In einem fernen Land „führt er ein zügelloses Leben und verschleudert sein Vermögen“.</w:t>
      </w:r>
      <w:r w:rsidRPr="009069CF">
        <w:rPr>
          <w:rFonts w:eastAsiaTheme="minorHAnsi"/>
          <w:vertAlign w:val="superscript"/>
          <w:lang w:eastAsia="en-US"/>
        </w:rPr>
        <w:t xml:space="preserve"> (v 13)</w:t>
      </w:r>
      <w:r w:rsidRPr="009069CF">
        <w:rPr>
          <w:rFonts w:eastAsiaTheme="minorHAnsi"/>
          <w:lang w:eastAsia="en-US"/>
        </w:rPr>
        <w:t xml:space="preserve"> Im Griechischen steht άσώτως – </w:t>
      </w:r>
      <w:r w:rsidRPr="009069CF">
        <w:rPr>
          <w:rFonts w:eastAsiaTheme="minorHAnsi"/>
          <w:i/>
          <w:lang w:eastAsia="en-US"/>
        </w:rPr>
        <w:t>asotos –</w:t>
      </w:r>
      <w:r w:rsidRPr="009069CF">
        <w:rPr>
          <w:rFonts w:eastAsiaTheme="minorHAnsi"/>
          <w:lang w:eastAsia="en-US"/>
        </w:rPr>
        <w:t xml:space="preserve"> zügellos, haltlos, vergeudend leben. Vom Vorwurf des älteren Sohnes her: „der dein Vermögen mit Dirnen durchgebracht hat“</w:t>
      </w:r>
      <w:r w:rsidRPr="009069CF">
        <w:rPr>
          <w:rFonts w:eastAsiaTheme="minorHAnsi"/>
          <w:vertAlign w:val="superscript"/>
          <w:lang w:eastAsia="en-US"/>
        </w:rPr>
        <w:t xml:space="preserve"> (v 30)</w:t>
      </w:r>
      <w:r w:rsidRPr="009069CF">
        <w:rPr>
          <w:rFonts w:eastAsiaTheme="minorHAnsi"/>
          <w:lang w:eastAsia="en-US"/>
        </w:rPr>
        <w:t>, müssen wir an ein Leben mit Frauen aus dem Kontext der Tempelprostitution denken. Prostitution war damals an bestimmten, den Fruchtbarkeitsgötzen geweihten Tempel üblich. Der jüngere Sohn lebte also in einem, seinen jüdischen Glauben verleugnenden Lebensstil und durch den Besuch der Dirnen – Tempelprostitution – verehrte er die Götzen. Er ist ein Götzendiener geworden. – Er wollte die eigene Freiheit und wurde Sklave der Götzen.</w:t>
      </w:r>
    </w:p>
    <w:p w:rsidR="009069CF" w:rsidRPr="009069CF" w:rsidRDefault="009069CF" w:rsidP="009069CF">
      <w:pPr>
        <w:jc w:val="both"/>
        <w:rPr>
          <w:rFonts w:eastAsia="Calibri"/>
          <w:lang w:eastAsia="en-US"/>
        </w:rPr>
      </w:pPr>
      <w:r w:rsidRPr="009069CF">
        <w:rPr>
          <w:rFonts w:eastAsia="Calibri"/>
          <w:lang w:eastAsia="en-US"/>
        </w:rPr>
        <w:t xml:space="preserve">Jeder kennt die Sehnsucht nach Freiheit und hat </w:t>
      </w:r>
      <w:r w:rsidR="00F979D0">
        <w:rPr>
          <w:rFonts w:eastAsia="Calibri"/>
          <w:lang w:eastAsia="en-US"/>
        </w:rPr>
        <w:t>wohl</w:t>
      </w:r>
      <w:r w:rsidRPr="009069CF">
        <w:rPr>
          <w:rFonts w:eastAsia="Calibri"/>
          <w:lang w:eastAsia="en-US"/>
        </w:rPr>
        <w:t xml:space="preserve"> auch schon negative Erfahrungen mit falschen Wegen gemacht. Paulus formuliert es so: </w:t>
      </w:r>
      <w:r w:rsidRPr="009069CF">
        <w:rPr>
          <w:rFonts w:eastAsia="Calibri"/>
          <w:i/>
          <w:lang w:eastAsia="en-US"/>
        </w:rPr>
        <w:t>„Begreift auch ihr euch als Menschen, die für die Sünde tot sind, aber für Gott leben in Christus Jesus.“</w:t>
      </w:r>
      <w:r w:rsidRPr="009069CF">
        <w:rPr>
          <w:rFonts w:eastAsia="Calibri"/>
          <w:vertAlign w:val="superscript"/>
          <w:lang w:eastAsia="en-US"/>
        </w:rPr>
        <w:t xml:space="preserve"> (Röm 6,11)</w:t>
      </w:r>
      <w:r w:rsidRPr="009069CF">
        <w:rPr>
          <w:rFonts w:eastAsia="Calibri"/>
          <w:lang w:eastAsia="en-US"/>
        </w:rPr>
        <w:t xml:space="preserve"> Nach Paulus findet also nur der den Weg in die Freiheit, der </w:t>
      </w:r>
      <w:r w:rsidRPr="009069CF">
        <w:rPr>
          <w:rFonts w:eastAsia="Calibri"/>
          <w:i/>
          <w:lang w:eastAsia="en-US"/>
        </w:rPr>
        <w:t>„in Christus Jesus für Gott lebt“.</w:t>
      </w:r>
      <w:r w:rsidRPr="009069CF">
        <w:rPr>
          <w:rFonts w:eastAsia="Calibri"/>
          <w:lang w:eastAsia="en-US"/>
        </w:rPr>
        <w:t xml:space="preserve"> We</w:t>
      </w:r>
      <w:r w:rsidR="002665BB">
        <w:rPr>
          <w:rFonts w:eastAsia="Calibri"/>
          <w:lang w:eastAsia="en-US"/>
        </w:rPr>
        <w:t>r</w:t>
      </w:r>
      <w:r w:rsidRPr="009069CF">
        <w:rPr>
          <w:rFonts w:eastAsia="Calibri"/>
          <w:lang w:eastAsia="en-US"/>
        </w:rPr>
        <w:t xml:space="preserve"> nicht zu </w:t>
      </w:r>
      <w:r w:rsidR="002665BB">
        <w:rPr>
          <w:rFonts w:eastAsia="Calibri"/>
          <w:lang w:eastAsia="en-US"/>
        </w:rPr>
        <w:t>seinem</w:t>
      </w:r>
      <w:r w:rsidRPr="009069CF">
        <w:rPr>
          <w:rFonts w:eastAsia="Calibri"/>
          <w:lang w:eastAsia="en-US"/>
        </w:rPr>
        <w:t xml:space="preserve"> </w:t>
      </w:r>
      <w:r w:rsidRPr="009069CF">
        <w:rPr>
          <w:rFonts w:eastAsia="Calibri"/>
          <w:lang w:eastAsia="en-US"/>
        </w:rPr>
        <w:lastRenderedPageBreak/>
        <w:t>Sünder-Sein steh</w:t>
      </w:r>
      <w:r w:rsidR="002665BB">
        <w:rPr>
          <w:rFonts w:eastAsia="Calibri"/>
          <w:lang w:eastAsia="en-US"/>
        </w:rPr>
        <w:t>t</w:t>
      </w:r>
      <w:r w:rsidRPr="009069CF">
        <w:rPr>
          <w:rFonts w:eastAsia="Calibri"/>
          <w:lang w:eastAsia="en-US"/>
        </w:rPr>
        <w:t>, belüg</w:t>
      </w:r>
      <w:r w:rsidR="002665BB">
        <w:rPr>
          <w:rFonts w:eastAsia="Calibri"/>
          <w:lang w:eastAsia="en-US"/>
        </w:rPr>
        <w:t>t</w:t>
      </w:r>
      <w:r w:rsidRPr="009069CF">
        <w:rPr>
          <w:rFonts w:eastAsia="Calibri"/>
          <w:lang w:eastAsia="en-US"/>
        </w:rPr>
        <w:t xml:space="preserve"> </w:t>
      </w:r>
      <w:r w:rsidR="002665BB">
        <w:rPr>
          <w:rFonts w:eastAsia="Calibri"/>
          <w:lang w:eastAsia="en-US"/>
        </w:rPr>
        <w:t>sich</w:t>
      </w:r>
      <w:r w:rsidRPr="009069CF">
        <w:rPr>
          <w:rFonts w:eastAsia="Calibri"/>
          <w:lang w:eastAsia="en-US"/>
        </w:rPr>
        <w:t xml:space="preserve"> uns selbst.</w:t>
      </w:r>
      <w:r w:rsidR="008C6481">
        <w:rPr>
          <w:rFonts w:eastAsia="Calibri"/>
          <w:lang w:eastAsia="en-US"/>
        </w:rPr>
        <w:t xml:space="preserve"> </w:t>
      </w:r>
      <w:r w:rsidR="002665BB">
        <w:rPr>
          <w:rFonts w:eastAsia="Calibri"/>
          <w:lang w:eastAsia="en-US"/>
        </w:rPr>
        <w:t xml:space="preserve">Er </w:t>
      </w:r>
      <w:r w:rsidR="008C6481">
        <w:rPr>
          <w:rFonts w:eastAsia="Calibri"/>
          <w:lang w:eastAsia="en-US"/>
        </w:rPr>
        <w:t>leb</w:t>
      </w:r>
      <w:r w:rsidR="002665BB">
        <w:rPr>
          <w:rFonts w:eastAsia="Calibri"/>
          <w:lang w:eastAsia="en-US"/>
        </w:rPr>
        <w:t>t</w:t>
      </w:r>
      <w:r w:rsidR="008C6481">
        <w:rPr>
          <w:rFonts w:eastAsia="Calibri"/>
          <w:lang w:eastAsia="en-US"/>
        </w:rPr>
        <w:t xml:space="preserve"> </w:t>
      </w:r>
      <w:r w:rsidR="002665BB">
        <w:rPr>
          <w:rFonts w:eastAsia="Calibri"/>
          <w:lang w:eastAsia="en-US"/>
        </w:rPr>
        <w:t>d</w:t>
      </w:r>
      <w:r w:rsidR="002665BB">
        <w:rPr>
          <w:rFonts w:eastAsia="Calibri"/>
          <w:lang w:eastAsia="en-US"/>
        </w:rPr>
        <w:t xml:space="preserve">ann </w:t>
      </w:r>
      <w:r w:rsidR="008C6481">
        <w:rPr>
          <w:rFonts w:eastAsia="Calibri"/>
          <w:lang w:eastAsia="en-US"/>
        </w:rPr>
        <w:t xml:space="preserve">in </w:t>
      </w:r>
      <w:r w:rsidR="002665BB">
        <w:rPr>
          <w:rFonts w:eastAsia="Calibri"/>
          <w:lang w:eastAsia="en-US"/>
        </w:rPr>
        <w:t>seinen</w:t>
      </w:r>
      <w:r w:rsidR="008C6481">
        <w:rPr>
          <w:rFonts w:eastAsia="Calibri"/>
          <w:lang w:eastAsia="en-US"/>
        </w:rPr>
        <w:t xml:space="preserve"> Illusionen, aber nicht in der Freiheit.</w:t>
      </w:r>
      <w:r w:rsidRPr="009069CF">
        <w:rPr>
          <w:rFonts w:eastAsia="Calibri"/>
          <w:lang w:eastAsia="en-US"/>
        </w:rPr>
        <w:t xml:space="preserve"> </w:t>
      </w:r>
    </w:p>
    <w:p w:rsidR="004E7C77" w:rsidRDefault="009069CF" w:rsidP="009069CF">
      <w:pPr>
        <w:jc w:val="both"/>
        <w:rPr>
          <w:rFonts w:eastAsia="Calibri"/>
          <w:lang w:eastAsia="en-US"/>
        </w:rPr>
      </w:pPr>
      <w:r w:rsidRPr="009069CF">
        <w:rPr>
          <w:rFonts w:eastAsia="Calibri"/>
          <w:lang w:eastAsia="en-US"/>
        </w:rPr>
        <w:t xml:space="preserve">Der Ausweg: „Gott, ich bin ein Sünder, hilf mir!“ – </w:t>
      </w:r>
      <w:r w:rsidR="00F979D0">
        <w:rPr>
          <w:rFonts w:eastAsia="Calibri"/>
          <w:lang w:eastAsia="en-US"/>
        </w:rPr>
        <w:t>W</w:t>
      </w:r>
      <w:r w:rsidRPr="009069CF">
        <w:rPr>
          <w:rFonts w:eastAsia="Calibri"/>
          <w:lang w:eastAsia="en-US"/>
        </w:rPr>
        <w:t xml:space="preserve">er Gott mutig die leeren Hände hinhält, </w:t>
      </w:r>
      <w:r w:rsidR="00F979D0">
        <w:rPr>
          <w:rFonts w:eastAsia="Calibri"/>
          <w:lang w:eastAsia="en-US"/>
        </w:rPr>
        <w:t>w</w:t>
      </w:r>
      <w:r w:rsidRPr="009069CF">
        <w:rPr>
          <w:rFonts w:eastAsia="Calibri"/>
          <w:lang w:eastAsia="en-US"/>
        </w:rPr>
        <w:t>er I</w:t>
      </w:r>
      <w:r w:rsidRPr="009069CF">
        <w:rPr>
          <w:rFonts w:eastAsia="Calibri"/>
          <w:sz w:val="18"/>
          <w:szCs w:val="18"/>
          <w:lang w:eastAsia="en-US"/>
        </w:rPr>
        <w:t>HM</w:t>
      </w:r>
      <w:r w:rsidRPr="009069CF">
        <w:rPr>
          <w:rFonts w:eastAsia="Calibri"/>
          <w:lang w:eastAsia="en-US"/>
        </w:rPr>
        <w:t xml:space="preserve"> die dunklen Seiten des eigenen Lebens offenlegt, einem solchen geht der Vater voll Freude entgegen, wie wir es im Gleichnis </w:t>
      </w:r>
      <w:r w:rsidR="004E7C77">
        <w:rPr>
          <w:rFonts w:eastAsia="Calibri"/>
          <w:lang w:eastAsia="en-US"/>
        </w:rPr>
        <w:t>hören</w:t>
      </w:r>
      <w:r w:rsidRPr="009069CF">
        <w:rPr>
          <w:rFonts w:eastAsia="Calibri"/>
          <w:lang w:eastAsia="en-US"/>
        </w:rPr>
        <w:t xml:space="preserve">. </w:t>
      </w:r>
    </w:p>
    <w:p w:rsidR="009069CF" w:rsidRPr="009069CF" w:rsidRDefault="009069CF" w:rsidP="009069CF">
      <w:pPr>
        <w:jc w:val="both"/>
        <w:rPr>
          <w:rFonts w:eastAsia="Calibri"/>
          <w:lang w:eastAsia="en-US"/>
        </w:rPr>
      </w:pPr>
      <w:r w:rsidRPr="009069CF">
        <w:rPr>
          <w:rFonts w:eastAsia="Calibri"/>
          <w:lang w:eastAsia="en-US"/>
        </w:rPr>
        <w:t>Erst als der jüngere Sohn ganz unten ist, als Jude, um nicht zu verhungern, Schweinefutter gegessen hätte, kam er zur Besinnung</w:t>
      </w:r>
      <w:r w:rsidR="00F979D0">
        <w:rPr>
          <w:rFonts w:eastAsia="Calibri"/>
          <w:lang w:eastAsia="en-US"/>
        </w:rPr>
        <w:t>,</w:t>
      </w:r>
      <w:r w:rsidRPr="009069CF">
        <w:rPr>
          <w:rFonts w:eastAsia="Calibri"/>
          <w:lang w:eastAsia="en-US"/>
        </w:rPr>
        <w:t xml:space="preserve"> zum Eingeständ</w:t>
      </w:r>
      <w:r w:rsidR="004E7C77">
        <w:rPr>
          <w:rFonts w:eastAsia="Calibri"/>
          <w:lang w:eastAsia="en-US"/>
        </w:rPr>
        <w:softHyphen/>
      </w:r>
      <w:r w:rsidRPr="009069CF">
        <w:rPr>
          <w:rFonts w:eastAsia="Calibri"/>
          <w:lang w:eastAsia="en-US"/>
        </w:rPr>
        <w:t xml:space="preserve">nis der Sünde, in der er lebte, dem Götzendienst, dem er in der Illusion von selbst gelebter Sexualität verfallen war. Da erst konnte er sich zum Vater auf den Weg machen. Kann ein gläubiger Jude (Christ) tiefer fallen? Sein Sündenbekenntnis war kurz: </w:t>
      </w:r>
      <w:r w:rsidRPr="009069CF">
        <w:rPr>
          <w:rFonts w:eastAsia="Calibri"/>
          <w:i/>
          <w:lang w:eastAsia="en-US"/>
        </w:rPr>
        <w:t>„Vater, ich habe mich gegen den Himmel und gegen dich versündigt; ich bin nicht mehr wert, dein Sohn zu sein.“</w:t>
      </w:r>
      <w:r w:rsidRPr="009069CF">
        <w:rPr>
          <w:rFonts w:eastAsia="Calibri"/>
          <w:vertAlign w:val="superscript"/>
          <w:lang w:eastAsia="en-US"/>
        </w:rPr>
        <w:t xml:space="preserve"> (Lk 15,21)</w:t>
      </w:r>
      <w:r w:rsidRPr="009069CF">
        <w:rPr>
          <w:rFonts w:eastAsia="Calibri"/>
          <w:lang w:eastAsia="en-US"/>
        </w:rPr>
        <w:t xml:space="preserve"> Und weil der himmlische Vater tief ins Herz des Sohnes sieht, lässt E</w:t>
      </w:r>
      <w:r w:rsidRPr="009069CF">
        <w:rPr>
          <w:rFonts w:eastAsia="Calibri"/>
          <w:sz w:val="18"/>
          <w:szCs w:val="18"/>
          <w:lang w:eastAsia="en-US"/>
        </w:rPr>
        <w:t>R</w:t>
      </w:r>
      <w:r w:rsidRPr="009069CF">
        <w:rPr>
          <w:rFonts w:eastAsia="Calibri"/>
          <w:lang w:eastAsia="en-US"/>
        </w:rPr>
        <w:t xml:space="preserve"> das weitere Bekenntnis nicht mehr zu, E</w:t>
      </w:r>
      <w:r w:rsidRPr="009069CF">
        <w:rPr>
          <w:rFonts w:eastAsia="Calibri"/>
          <w:sz w:val="18"/>
          <w:szCs w:val="18"/>
          <w:lang w:eastAsia="en-US"/>
        </w:rPr>
        <w:t>R</w:t>
      </w:r>
      <w:r w:rsidRPr="009069CF">
        <w:rPr>
          <w:rFonts w:eastAsia="Calibri"/>
          <w:lang w:eastAsia="en-US"/>
        </w:rPr>
        <w:t xml:space="preserve"> kennt es bereits. Voll Sehnsucht hat </w:t>
      </w:r>
      <w:r w:rsidR="00F979D0">
        <w:rPr>
          <w:rFonts w:eastAsia="Calibri"/>
          <w:lang w:eastAsia="en-US"/>
        </w:rPr>
        <w:t>E</w:t>
      </w:r>
      <w:r w:rsidR="00F979D0" w:rsidRPr="00F979D0">
        <w:rPr>
          <w:rFonts w:eastAsia="Calibri"/>
          <w:sz w:val="18"/>
          <w:szCs w:val="18"/>
          <w:lang w:eastAsia="en-US"/>
        </w:rPr>
        <w:t>R</w:t>
      </w:r>
      <w:r w:rsidRPr="009069CF">
        <w:rPr>
          <w:rFonts w:eastAsia="Calibri"/>
          <w:lang w:eastAsia="en-US"/>
        </w:rPr>
        <w:t xml:space="preserve"> darauf gewartet, dass der Sohn endlich umkehrt, und E</w:t>
      </w:r>
      <w:r w:rsidRPr="009069CF">
        <w:rPr>
          <w:rFonts w:eastAsia="Calibri"/>
          <w:sz w:val="18"/>
          <w:szCs w:val="18"/>
          <w:lang w:eastAsia="en-US"/>
        </w:rPr>
        <w:t>R</w:t>
      </w:r>
      <w:r w:rsidRPr="009069CF">
        <w:rPr>
          <w:rFonts w:eastAsia="Calibri"/>
          <w:lang w:eastAsia="en-US"/>
        </w:rPr>
        <w:t xml:space="preserve"> sich seiner </w:t>
      </w:r>
      <w:proofErr w:type="spellStart"/>
      <w:r w:rsidRPr="009069CF">
        <w:rPr>
          <w:rFonts w:eastAsia="Calibri"/>
          <w:lang w:eastAsia="en-US"/>
        </w:rPr>
        <w:t>erbarmen</w:t>
      </w:r>
      <w:proofErr w:type="spellEnd"/>
      <w:r w:rsidRPr="009069CF">
        <w:rPr>
          <w:rFonts w:eastAsia="Calibri"/>
          <w:lang w:eastAsia="en-US"/>
        </w:rPr>
        <w:t xml:space="preserve"> kann. So wartet Gott auch auf jeden Sünder, auf uns, auf unser Sündenbekenntnis, damit E</w:t>
      </w:r>
      <w:r w:rsidRPr="009069CF">
        <w:rPr>
          <w:rFonts w:eastAsia="Calibri"/>
          <w:sz w:val="18"/>
          <w:szCs w:val="18"/>
          <w:lang w:eastAsia="en-US"/>
        </w:rPr>
        <w:t>R</w:t>
      </w:r>
      <w:r w:rsidRPr="009069CF">
        <w:rPr>
          <w:rFonts w:eastAsia="Calibri"/>
          <w:lang w:eastAsia="en-US"/>
        </w:rPr>
        <w:t xml:space="preserve"> uns voll Liebe annehmen kann. </w:t>
      </w:r>
    </w:p>
    <w:p w:rsidR="00686896" w:rsidRPr="009069CF" w:rsidRDefault="004E7C77" w:rsidP="009069CF">
      <w:pPr>
        <w:jc w:val="both"/>
      </w:pPr>
      <w:r>
        <w:t>D</w:t>
      </w:r>
      <w:r w:rsidR="0052469E" w:rsidRPr="009069CF">
        <w:t xml:space="preserve">er „verlorene Sohn“ </w:t>
      </w:r>
      <w:r w:rsidR="002837B6" w:rsidRPr="009069CF">
        <w:t>hat sich an seinen Vaters erinnert und ist zu ihm gegangen, aus seiner Not in die Arme des Vaters geflohen. Das konnte er, weil er daran glaubte, dass die Gerechtigkeit des Vaters eine andere ist als die „Gerechtigkeit“ der Menschen.</w:t>
      </w:r>
    </w:p>
    <w:p w:rsidR="002837B6" w:rsidRPr="009069CF" w:rsidRDefault="002837B6" w:rsidP="009069CF">
      <w:pPr>
        <w:jc w:val="both"/>
        <w:rPr>
          <w:vertAlign w:val="superscript"/>
        </w:rPr>
      </w:pPr>
      <w:r w:rsidRPr="009069CF">
        <w:t>Christus ist nicht gekommen, um die „Gerechten“ zu rufen, die</w:t>
      </w:r>
      <w:r w:rsidR="00686896" w:rsidRPr="009069CF">
        <w:t xml:space="preserve"> davon überzeugt sind, dass sie</w:t>
      </w:r>
      <w:r w:rsidRPr="009069CF">
        <w:t xml:space="preserve"> keine Umkehr brauchen</w:t>
      </w:r>
      <w:r w:rsidR="0052469E" w:rsidRPr="009069CF">
        <w:t>.</w:t>
      </w:r>
      <w:r w:rsidRPr="009069CF">
        <w:t xml:space="preserve"> </w:t>
      </w:r>
      <w:r w:rsidR="0052469E" w:rsidRPr="009069CF">
        <w:t>E</w:t>
      </w:r>
      <w:r w:rsidR="0052469E" w:rsidRPr="00F979D0">
        <w:rPr>
          <w:sz w:val="18"/>
          <w:szCs w:val="18"/>
        </w:rPr>
        <w:t>R</w:t>
      </w:r>
      <w:r w:rsidR="0052469E" w:rsidRPr="009069CF">
        <w:t xml:space="preserve"> ist gekommen</w:t>
      </w:r>
      <w:r w:rsidRPr="009069CF">
        <w:t>, um denen, die um ihre Schwachheit und um ihre Sünde wissen, den Weg zum Leben zu zeigen</w:t>
      </w:r>
      <w:r w:rsidR="00686896" w:rsidRPr="009069CF">
        <w:t>,</w:t>
      </w:r>
      <w:r w:rsidR="00AD1C16" w:rsidRPr="009069CF">
        <w:t xml:space="preserve"> ihnen zu helfen, diesen Weg des Lebens zu gehen</w:t>
      </w:r>
      <w:r w:rsidRPr="009069CF">
        <w:t>.</w:t>
      </w:r>
      <w:r w:rsidR="00D12F6F" w:rsidRPr="009069CF">
        <w:t xml:space="preserve"> Am Ende des </w:t>
      </w:r>
      <w:r w:rsidR="00686896" w:rsidRPr="009069CF">
        <w:t xml:space="preserve">Mahles </w:t>
      </w:r>
      <w:r w:rsidR="00D12F6F" w:rsidRPr="009069CF">
        <w:t xml:space="preserve">mit den Sündern sagt </w:t>
      </w:r>
      <w:r w:rsidR="00AD1C16" w:rsidRPr="009069CF">
        <w:t>Jesus</w:t>
      </w:r>
      <w:r w:rsidR="00D12F6F" w:rsidRPr="009069CF">
        <w:t xml:space="preserve"> auf Vorwürfe der Pharisäer: </w:t>
      </w:r>
      <w:r w:rsidR="002A41F6" w:rsidRPr="009069CF">
        <w:t>„Ich bin</w:t>
      </w:r>
      <w:r w:rsidR="00686896" w:rsidRPr="009069CF">
        <w:t xml:space="preserve"> nicht</w:t>
      </w:r>
      <w:r w:rsidR="002A41F6" w:rsidRPr="009069CF">
        <w:t xml:space="preserve"> gekommen, um </w:t>
      </w:r>
      <w:r w:rsidR="00686896" w:rsidRPr="009069CF">
        <w:t>Gerechte zu rufen, sondern</w:t>
      </w:r>
      <w:r w:rsidR="002A41F6" w:rsidRPr="009069CF">
        <w:t xml:space="preserve"> Sünder.“</w:t>
      </w:r>
      <w:r w:rsidR="00686896" w:rsidRPr="009069CF">
        <w:rPr>
          <w:vertAlign w:val="superscript"/>
        </w:rPr>
        <w:t xml:space="preserve"> (Mk 2,17</w:t>
      </w:r>
      <w:r w:rsidR="002A41F6" w:rsidRPr="009069CF">
        <w:rPr>
          <w:vertAlign w:val="superscript"/>
        </w:rPr>
        <w:t>)</w:t>
      </w:r>
    </w:p>
    <w:p w:rsidR="00EF5659" w:rsidRPr="00EF5659" w:rsidRDefault="00EF5659" w:rsidP="009069CF">
      <w:pPr>
        <w:jc w:val="both"/>
        <w:rPr>
          <w:sz w:val="4"/>
          <w:szCs w:val="4"/>
        </w:rPr>
      </w:pPr>
      <w:bookmarkStart w:id="0" w:name="_GoBack"/>
    </w:p>
    <w:bookmarkEnd w:id="0"/>
    <w:p w:rsidR="002A41F6" w:rsidRPr="009069CF" w:rsidRDefault="002837B6" w:rsidP="009069CF">
      <w:pPr>
        <w:jc w:val="both"/>
      </w:pPr>
      <w:r w:rsidRPr="009069CF">
        <w:t xml:space="preserve">Können wir uns als Schwache und Sünder verstehen? </w:t>
      </w:r>
    </w:p>
    <w:p w:rsidR="002837B6" w:rsidRPr="009069CF" w:rsidRDefault="002837B6" w:rsidP="009069CF">
      <w:pPr>
        <w:jc w:val="both"/>
      </w:pPr>
      <w:r w:rsidRPr="009069CF">
        <w:t>Das ist die Voraussetzung, um Gottes Angebot an</w:t>
      </w:r>
      <w:r w:rsidR="00067358">
        <w:t>zu</w:t>
      </w:r>
      <w:r w:rsidRPr="009069CF">
        <w:t xml:space="preserve">nehmen, das </w:t>
      </w:r>
      <w:r w:rsidR="00686896" w:rsidRPr="009069CF">
        <w:t xml:space="preserve">jetzt </w:t>
      </w:r>
      <w:r w:rsidRPr="009069CF">
        <w:t xml:space="preserve">auch an uns ergeht. Auch zu uns sagt Jesus: Komm herunter vom Baum deines Stolzes! Ich muss heute </w:t>
      </w:r>
      <w:r w:rsidR="00E33884" w:rsidRPr="009069CF">
        <w:t xml:space="preserve">in deinem Haus </w:t>
      </w:r>
      <w:r w:rsidR="008C6481">
        <w:t>zu Gast sein</w:t>
      </w:r>
      <w:r w:rsidRPr="009069CF">
        <w:t>.</w:t>
      </w:r>
      <w:r w:rsidR="00686896" w:rsidRPr="009069CF">
        <w:t xml:space="preserve"> </w:t>
      </w:r>
    </w:p>
    <w:p w:rsidR="002A41F6" w:rsidRPr="009069CF" w:rsidRDefault="00067358" w:rsidP="009069CF">
      <w:pPr>
        <w:jc w:val="both"/>
      </w:pPr>
      <w:r>
        <w:t>E</w:t>
      </w:r>
      <w:r w:rsidRPr="00067358">
        <w:rPr>
          <w:sz w:val="18"/>
          <w:szCs w:val="18"/>
        </w:rPr>
        <w:t>R</w:t>
      </w:r>
      <w:r w:rsidR="002A41F6" w:rsidRPr="009069CF">
        <w:t xml:space="preserve"> lädt sich bei uns ein, damit wir den Weg zum Leben </w:t>
      </w:r>
      <w:r w:rsidR="00686896" w:rsidRPr="009069CF">
        <w:t>finden</w:t>
      </w:r>
      <w:r w:rsidR="002A41F6" w:rsidRPr="009069CF">
        <w:t>.</w:t>
      </w:r>
      <w:r w:rsidR="001E0C6C" w:rsidRPr="009069CF">
        <w:t xml:space="preserve"> Wenn wir diese Schritte gehen, </w:t>
      </w:r>
      <w:r w:rsidR="000B4382" w:rsidRPr="009069CF">
        <w:t>wird</w:t>
      </w:r>
      <w:r w:rsidR="001E0C6C" w:rsidRPr="009069CF">
        <w:t xml:space="preserve"> auch </w:t>
      </w:r>
      <w:r w:rsidR="000B4382" w:rsidRPr="009069CF">
        <w:t>uns</w:t>
      </w:r>
      <w:r w:rsidR="001E0C6C" w:rsidRPr="009069CF">
        <w:t xml:space="preserve"> </w:t>
      </w:r>
      <w:r w:rsidR="000B4382" w:rsidRPr="009069CF">
        <w:t>zugerufen</w:t>
      </w:r>
      <w:r w:rsidR="001E0C6C" w:rsidRPr="009069CF">
        <w:t>: Freu</w:t>
      </w:r>
      <w:r w:rsidR="000B4382" w:rsidRPr="009069CF">
        <w:t>e</w:t>
      </w:r>
      <w:r w:rsidR="001E0C6C" w:rsidRPr="009069CF">
        <w:t xml:space="preserve"> </w:t>
      </w:r>
      <w:r w:rsidR="000B4382" w:rsidRPr="009069CF">
        <w:t>dich</w:t>
      </w:r>
      <w:r w:rsidR="001E0C6C" w:rsidRPr="009069CF">
        <w:t>!</w:t>
      </w:r>
      <w:r w:rsidR="008C6481">
        <w:tab/>
      </w:r>
      <w:r w:rsidR="008C6481">
        <w:tab/>
        <w:t>Amen.</w:t>
      </w:r>
    </w:p>
    <w:sectPr w:rsidR="002A41F6" w:rsidRPr="009069CF" w:rsidSect="00055E74">
      <w:headerReference w:type="default" r:id="rId6"/>
      <w:footerReference w:type="even" r:id="rId7"/>
      <w:footerReference w:type="default" r:id="rId8"/>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03D" w:rsidRDefault="00A6103D">
      <w:r>
        <w:separator/>
      </w:r>
    </w:p>
  </w:endnote>
  <w:endnote w:type="continuationSeparator" w:id="0">
    <w:p w:rsidR="00A6103D" w:rsidRDefault="00A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B0" w:rsidRDefault="00FB54B0" w:rsidP="00007EE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B54B0" w:rsidRDefault="00FB54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B0" w:rsidRPr="002837B6" w:rsidRDefault="00FB54B0" w:rsidP="00007EEF">
    <w:pPr>
      <w:pStyle w:val="Fuzeile"/>
      <w:framePr w:wrap="around" w:vAnchor="text" w:hAnchor="margin" w:xAlign="center" w:y="1"/>
      <w:rPr>
        <w:rStyle w:val="Seitenzahl"/>
        <w:sz w:val="20"/>
        <w:szCs w:val="20"/>
      </w:rPr>
    </w:pPr>
    <w:r w:rsidRPr="002837B6">
      <w:rPr>
        <w:rStyle w:val="Seitenzahl"/>
        <w:sz w:val="20"/>
        <w:szCs w:val="20"/>
      </w:rPr>
      <w:fldChar w:fldCharType="begin"/>
    </w:r>
    <w:r w:rsidRPr="002837B6">
      <w:rPr>
        <w:rStyle w:val="Seitenzahl"/>
        <w:sz w:val="20"/>
        <w:szCs w:val="20"/>
      </w:rPr>
      <w:instrText xml:space="preserve">PAGE  </w:instrText>
    </w:r>
    <w:r w:rsidRPr="002837B6">
      <w:rPr>
        <w:rStyle w:val="Seitenzahl"/>
        <w:sz w:val="20"/>
        <w:szCs w:val="20"/>
      </w:rPr>
      <w:fldChar w:fldCharType="separate"/>
    </w:r>
    <w:r w:rsidR="00E33884">
      <w:rPr>
        <w:rStyle w:val="Seitenzahl"/>
        <w:noProof/>
        <w:sz w:val="20"/>
        <w:szCs w:val="20"/>
      </w:rPr>
      <w:t>2</w:t>
    </w:r>
    <w:r w:rsidRPr="002837B6">
      <w:rPr>
        <w:rStyle w:val="Seitenzahl"/>
        <w:sz w:val="20"/>
        <w:szCs w:val="20"/>
      </w:rPr>
      <w:fldChar w:fldCharType="end"/>
    </w:r>
  </w:p>
  <w:p w:rsidR="00FB54B0" w:rsidRPr="002837B6" w:rsidRDefault="00FB54B0">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03D" w:rsidRDefault="00A6103D">
      <w:r>
        <w:separator/>
      </w:r>
    </w:p>
  </w:footnote>
  <w:footnote w:type="continuationSeparator" w:id="0">
    <w:p w:rsidR="00A6103D" w:rsidRDefault="00A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B0" w:rsidRPr="002837B6" w:rsidRDefault="00FB54B0">
    <w:pPr>
      <w:pStyle w:val="Kopfzeile"/>
      <w:rPr>
        <w:sz w:val="16"/>
        <w:szCs w:val="16"/>
      </w:rPr>
    </w:pPr>
    <w:r>
      <w:rPr>
        <w:sz w:val="16"/>
        <w:szCs w:val="16"/>
      </w:rPr>
      <w:t xml:space="preserve">4. Fastensonntag – C – </w:t>
    </w:r>
    <w:r w:rsidR="00BE49FF">
      <w:rPr>
        <w:sz w:val="16"/>
        <w:szCs w:val="16"/>
      </w:rPr>
      <w:t>22</w:t>
    </w:r>
    <w:r>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B6"/>
    <w:rsid w:val="00007EEF"/>
    <w:rsid w:val="000128AB"/>
    <w:rsid w:val="000260EA"/>
    <w:rsid w:val="00055E74"/>
    <w:rsid w:val="00067358"/>
    <w:rsid w:val="000B4382"/>
    <w:rsid w:val="001236BB"/>
    <w:rsid w:val="00123984"/>
    <w:rsid w:val="00145D97"/>
    <w:rsid w:val="0018276F"/>
    <w:rsid w:val="00186D6D"/>
    <w:rsid w:val="001E0C6C"/>
    <w:rsid w:val="001E375C"/>
    <w:rsid w:val="00254E71"/>
    <w:rsid w:val="002665BB"/>
    <w:rsid w:val="002837B6"/>
    <w:rsid w:val="00297329"/>
    <w:rsid w:val="002A41F6"/>
    <w:rsid w:val="002E07C8"/>
    <w:rsid w:val="003675A7"/>
    <w:rsid w:val="003740E4"/>
    <w:rsid w:val="003A03EB"/>
    <w:rsid w:val="00414A34"/>
    <w:rsid w:val="004C025F"/>
    <w:rsid w:val="004D3EEF"/>
    <w:rsid w:val="004E7C77"/>
    <w:rsid w:val="0052469E"/>
    <w:rsid w:val="00527CA2"/>
    <w:rsid w:val="00553C0E"/>
    <w:rsid w:val="00686896"/>
    <w:rsid w:val="00701B89"/>
    <w:rsid w:val="00730D39"/>
    <w:rsid w:val="00746FE0"/>
    <w:rsid w:val="007807DF"/>
    <w:rsid w:val="007B1A8A"/>
    <w:rsid w:val="008C6481"/>
    <w:rsid w:val="008D6F62"/>
    <w:rsid w:val="009069CF"/>
    <w:rsid w:val="00996AD0"/>
    <w:rsid w:val="009E7360"/>
    <w:rsid w:val="00A0667E"/>
    <w:rsid w:val="00A1257A"/>
    <w:rsid w:val="00A6103D"/>
    <w:rsid w:val="00AB279F"/>
    <w:rsid w:val="00AD1C16"/>
    <w:rsid w:val="00AD4A87"/>
    <w:rsid w:val="00AF139E"/>
    <w:rsid w:val="00B12CA2"/>
    <w:rsid w:val="00B41E5A"/>
    <w:rsid w:val="00B50AEF"/>
    <w:rsid w:val="00BA40A4"/>
    <w:rsid w:val="00BA6B7F"/>
    <w:rsid w:val="00BE49FF"/>
    <w:rsid w:val="00CF0FA7"/>
    <w:rsid w:val="00D12F6F"/>
    <w:rsid w:val="00D250D9"/>
    <w:rsid w:val="00D77FD3"/>
    <w:rsid w:val="00DC559D"/>
    <w:rsid w:val="00E27495"/>
    <w:rsid w:val="00E33884"/>
    <w:rsid w:val="00ED57BB"/>
    <w:rsid w:val="00EF5659"/>
    <w:rsid w:val="00F979D0"/>
    <w:rsid w:val="00FB5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90C38"/>
  <w15:chartTrackingRefBased/>
  <w15:docId w15:val="{CC006CE5-D190-4EB1-B94C-DA499C9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837B6"/>
    <w:pPr>
      <w:tabs>
        <w:tab w:val="center" w:pos="4536"/>
        <w:tab w:val="right" w:pos="9072"/>
      </w:tabs>
    </w:pPr>
  </w:style>
  <w:style w:type="paragraph" w:styleId="Fuzeile">
    <w:name w:val="footer"/>
    <w:basedOn w:val="Standard"/>
    <w:rsid w:val="002837B6"/>
    <w:pPr>
      <w:tabs>
        <w:tab w:val="center" w:pos="4536"/>
        <w:tab w:val="right" w:pos="9072"/>
      </w:tabs>
    </w:pPr>
  </w:style>
  <w:style w:type="character" w:styleId="Seitenzahl">
    <w:name w:val="page number"/>
    <w:basedOn w:val="Absatz-Standardschriftart"/>
    <w:rsid w:val="002837B6"/>
  </w:style>
  <w:style w:type="paragraph" w:styleId="Textkrper">
    <w:name w:val="Body Text"/>
    <w:basedOn w:val="Standard"/>
    <w:rsid w:val="002837B6"/>
    <w:pPr>
      <w:jc w:val="both"/>
    </w:pPr>
  </w:style>
  <w:style w:type="paragraph" w:styleId="Endnotentext">
    <w:name w:val="endnote text"/>
    <w:basedOn w:val="Standard"/>
    <w:semiHidden/>
    <w:rsid w:val="002837B6"/>
    <w:rPr>
      <w:sz w:val="20"/>
      <w:szCs w:val="20"/>
    </w:rPr>
  </w:style>
  <w:style w:type="character" w:styleId="Endnotenzeichen">
    <w:name w:val="endnote reference"/>
    <w:semiHidden/>
    <w:rsid w:val="002837B6"/>
    <w:rPr>
      <w:vertAlign w:val="superscript"/>
    </w:rPr>
  </w:style>
  <w:style w:type="paragraph" w:styleId="Sprechblasentext">
    <w:name w:val="Balloon Text"/>
    <w:basedOn w:val="Standard"/>
    <w:semiHidden/>
    <w:rsid w:val="00297329"/>
    <w:rPr>
      <w:rFonts w:ascii="Tahoma" w:hAnsi="Tahoma" w:cs="Tahoma"/>
      <w:sz w:val="16"/>
      <w:szCs w:val="16"/>
    </w:rPr>
  </w:style>
  <w:style w:type="paragraph" w:styleId="Funotentext">
    <w:name w:val="footnote text"/>
    <w:basedOn w:val="Standard"/>
    <w:semiHidden/>
    <w:rsid w:val="00AD1C16"/>
    <w:rPr>
      <w:sz w:val="20"/>
      <w:szCs w:val="20"/>
    </w:rPr>
  </w:style>
  <w:style w:type="character" w:styleId="Funotenzeichen">
    <w:name w:val="footnote reference"/>
    <w:semiHidden/>
    <w:rsid w:val="00AD1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Der Diakon wurde von seiner Gemeinschaft</vt:lpstr>
    </vt:vector>
  </TitlesOfParts>
  <Company>Arbeitszimmer</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Diakon wurde von seiner Gemeinschaft</dc:title>
  <dc:subject/>
  <dc:creator>Armin</dc:creator>
  <cp:keywords/>
  <dc:description/>
  <cp:lastModifiedBy>Armin Kögler</cp:lastModifiedBy>
  <cp:revision>6</cp:revision>
  <cp:lastPrinted>2007-03-18T06:59:00Z</cp:lastPrinted>
  <dcterms:created xsi:type="dcterms:W3CDTF">2022-03-06T10:43:00Z</dcterms:created>
  <dcterms:modified xsi:type="dcterms:W3CDTF">2022-03-22T09:57:00Z</dcterms:modified>
</cp:coreProperties>
</file>